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康命源（贵州）科技发展有限公司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王琴情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周涛、</w:t>
            </w:r>
            <w:r>
              <w:rPr>
                <w:rFonts w:hint="eastAsia"/>
                <w:color w:val="000000"/>
                <w:sz w:val="24"/>
                <w:szCs w:val="24"/>
              </w:rPr>
              <w:t>张静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审核时间：</w:t>
            </w:r>
            <w:bookmarkStart w:id="2" w:name="审核日期"/>
            <w:r>
              <w:rPr>
                <w:color w:val="000000"/>
              </w:rPr>
              <w:t>2022年06月05日 上午至2022年06月05日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：91520421MA6DKNQB7L </w:t>
            </w:r>
            <w:r>
              <w:rPr>
                <w:rFonts w:hint="eastAsia"/>
                <w:color w:val="000000"/>
                <w:szCs w:val="21"/>
              </w:rPr>
              <w:t>； 有效期</w:t>
            </w:r>
            <w:r>
              <w:rPr>
                <w:rFonts w:hint="eastAsia"/>
                <w:color w:val="000000"/>
                <w:szCs w:val="21"/>
                <w:u w:val="single"/>
              </w:rPr>
              <w:t>：2016-03-16 至 无固定期限；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>法律、法规、国务院决定规定禁止的不得经营；法律、法规、国务院决定规定应当许可（审批）的，经审批机关批准后凭许可（审批）文件经营;法律、法规、国务院决定规定无需许可（审批）的，市场主体自主选择经营。（塑料原料及产品研发、生产、销售；改性塑料研发、生产、销售；塑料合金材料研发、生产、销售；功能塑料管材、型材、板材研发、生产、销售；高分子新材料技术的研发及成果转换。进出口贸易（塑料原料、改性塑料、塑料合金材料、功能塑料管材不含危险化学品）。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rPr>
                <w:rFonts w:hint="eastAsia"/>
                <w:color w:val="000000"/>
                <w:szCs w:val="21"/>
                <w:u w:val="single"/>
              </w:rPr>
              <w:t>聚乙烯（PE）、聚氯乙烯（PVC）及聚丙烯（PP）管材生产所涉及的能源管理活动</w:t>
            </w:r>
            <w:bookmarkEnd w:id="3"/>
            <w:r>
              <w:rPr>
                <w:rFonts w:hint="eastAsia"/>
                <w:color w:val="000000"/>
                <w:szCs w:val="21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贵州省安顺市平坝区夏云工业园龙腾路1号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贵州省安顺市平坝区夏云工业园龙腾路1号</w:t>
            </w: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</w:rPr>
            </w:pPr>
            <w:r>
              <w:drawing>
                <wp:inline distT="0" distB="0" distL="114300" distR="114300">
                  <wp:extent cx="6036945" cy="1181100"/>
                  <wp:effectExtent l="0" t="0" r="825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694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157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131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highlight w:val="cyan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highlight w:val="cyan"/>
              </w:rPr>
              <w:t>年</w:t>
            </w:r>
            <w:r>
              <w:rPr>
                <w:rFonts w:hint="eastAsia"/>
                <w:color w:val="000000"/>
                <w:szCs w:val="18"/>
                <w:highlight w:val="cyan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  <w:highlight w:val="cyan"/>
              </w:rPr>
              <w:t>月</w:t>
            </w:r>
            <w:r>
              <w:rPr>
                <w:rFonts w:hint="eastAsia"/>
                <w:color w:val="000000"/>
                <w:szCs w:val="18"/>
                <w:highlight w:val="cyan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highlight w:val="cyan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000000"/>
                <w:szCs w:val="21"/>
              </w:rPr>
              <w:t xml:space="preserve">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</w:t>
            </w:r>
            <w:r>
              <w:rPr>
                <w:rFonts w:hint="eastAsia"/>
                <w:color w:val="000000"/>
                <w:szCs w:val="18"/>
                <w:highlight w:val="cyan"/>
              </w:rPr>
              <w:t>内部环境和外部环境</w:t>
            </w:r>
            <w:r>
              <w:rPr>
                <w:rFonts w:hint="eastAsia"/>
                <w:color w:val="000000"/>
                <w:szCs w:val="18"/>
              </w:rPr>
              <w:t>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</w:t>
            </w:r>
            <w:r>
              <w:rPr>
                <w:rFonts w:hint="eastAsia"/>
                <w:color w:val="000000"/>
                <w:szCs w:val="18"/>
                <w:highlight w:val="cyan"/>
              </w:rPr>
              <w:t>相关方和期望</w:t>
            </w:r>
            <w:r>
              <w:rPr>
                <w:rFonts w:hint="eastAsia"/>
                <w:color w:val="000000"/>
                <w:szCs w:val="18"/>
              </w:rPr>
              <w:t>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</w:t>
            </w:r>
            <w:r>
              <w:rPr>
                <w:rFonts w:hint="eastAsia"/>
                <w:color w:val="000000"/>
                <w:szCs w:val="18"/>
                <w:highlight w:val="cyan"/>
              </w:rPr>
              <w:t>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 组织</w:t>
            </w:r>
            <w:r>
              <w:rPr>
                <w:rFonts w:hint="eastAsia"/>
                <w:color w:val="000000"/>
                <w:szCs w:val="18"/>
                <w:highlight w:val="cyan"/>
              </w:rPr>
              <w:t>机构设置、职责分配及沟通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生产部、采购部、行政部、财务部、研发部、营销部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）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FF"/>
                <w:szCs w:val="18"/>
                <w:highlight w:val="cyan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FF"/>
                <w:szCs w:val="18"/>
                <w:highlight w:val="none"/>
                <w:u w:val="single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18"/>
                <w:u w:val="single"/>
              </w:rPr>
              <w:t>遵守法规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18"/>
                <w:u w:val="singl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18"/>
                <w:u w:val="single"/>
              </w:rPr>
              <w:t>清洁生产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18"/>
                <w:u w:val="single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18"/>
                <w:u w:val="single"/>
                <w:lang w:val="en-US" w:eastAsia="zh-CN"/>
              </w:rPr>
              <w:t>节能降耗、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18"/>
                <w:u w:val="single"/>
              </w:rPr>
              <w:t>创新改造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18"/>
                <w:u w:val="single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18"/>
                <w:u w:val="single"/>
                <w:lang w:val="en-US" w:eastAsia="zh-CN"/>
              </w:rPr>
              <w:t>能耗限额、持续改进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val="en-US" w:eastAsia="zh-CN"/>
              </w:rPr>
              <w:t>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</w:t>
            </w:r>
            <w:r>
              <w:rPr>
                <w:rFonts w:hint="eastAsia"/>
                <w:color w:val="0000FF"/>
                <w:szCs w:val="18"/>
                <w:highlight w:val="cyan"/>
              </w:rPr>
              <w:t>管理目标</w:t>
            </w:r>
            <w:r>
              <w:rPr>
                <w:rFonts w:hint="eastAsia"/>
                <w:color w:val="000000"/>
                <w:szCs w:val="18"/>
              </w:rPr>
              <w:t>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>E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n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18"/>
                <w:u w:val="single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18"/>
                <w:u w:val="singl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18"/>
                <w:u w:val="single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18"/>
                <w:u w:val="singl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18"/>
                <w:u w:val="single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18"/>
                <w:u w:val="single"/>
                <w:lang w:val="en-US" w:eastAsia="zh-CN"/>
              </w:rPr>
              <w:t>15日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18"/>
                <w:u w:val="single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18"/>
                <w:u w:val="singl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18"/>
                <w:u w:val="single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18"/>
                <w:u w:val="singl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18"/>
                <w:u w:val="single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18"/>
                <w:u w:val="single"/>
                <w:lang w:val="en-US" w:eastAsia="zh-CN"/>
              </w:rPr>
              <w:t>19日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ascii="Wingdings" w:hAnsi="Wingdings"/>
                <w:color w:val="000000"/>
              </w:rPr>
              <w:t>¨¨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6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电能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）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bookmarkStart w:id="5" w:name="_GoBack"/>
            <w:bookmarkEnd w:id="5"/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-近一年是否进行了技术改进？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</w:t>
            </w:r>
            <w:r>
              <w:rPr>
                <w:rFonts w:hint="eastAsia"/>
                <w:color w:val="000000"/>
                <w:szCs w:val="18"/>
                <w:highlight w:val="none"/>
              </w:rPr>
              <w:t>汰落后设备的</w:t>
            </w:r>
            <w:r>
              <w:rPr>
                <w:rFonts w:hint="eastAsia"/>
                <w:color w:val="000000"/>
                <w:szCs w:val="18"/>
              </w:rPr>
              <w:t>识别情况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þ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21"/>
              </w:rPr>
              <w:sym w:font="Wingdings" w:char="00FE"/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流量计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086E244A"/>
    <w:rsid w:val="3F00274D"/>
    <w:rsid w:val="4E0F731E"/>
    <w:rsid w:val="6C392B18"/>
    <w:rsid w:val="7FD528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3550</Words>
  <Characters>3712</Characters>
  <Lines>92</Lines>
  <Paragraphs>26</Paragraphs>
  <TotalTime>55</TotalTime>
  <ScaleCrop>false</ScaleCrop>
  <LinksUpToDate>false</LinksUpToDate>
  <CharactersWithSpaces>4507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和为贵</cp:lastModifiedBy>
  <dcterms:modified xsi:type="dcterms:W3CDTF">2022-06-05T02:23:57Z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2052-11.1.0.11744</vt:lpwstr>
  </property>
</Properties>
</file>