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0440-2022-EnMs</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深州冀衡药业有限公司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李丽英</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91131182MA0EJR4U8K</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□带标  </w:t>
            </w:r>
            <w:r>
              <w:rPr>
                <w:rFonts w:hint="eastAsia"/>
                <w:sz w:val="22"/>
                <w:szCs w:val="22"/>
              </w:rPr>
              <w:sym w:font="Wingdings 2" w:char="00A3"/>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rPr>
              <w:sym w:font="Wingdings 2" w:char="00A3"/>
            </w:r>
            <w:r>
              <w:rPr>
                <w:rFonts w:hint="eastAsia"/>
                <w:sz w:val="22"/>
                <w:szCs w:val="22"/>
              </w:rPr>
              <w:t xml:space="preserve"> GB/T 23331-2020 idt ISO 50001:2018标准；</w:t>
            </w:r>
          </w:p>
          <w:p>
            <w:pPr>
              <w:rPr>
                <w:sz w:val="22"/>
                <w:szCs w:val="22"/>
              </w:rPr>
            </w:pPr>
            <w:r>
              <w:rPr>
                <w:rFonts w:hint="eastAsia"/>
                <w:sz w:val="22"/>
                <w:szCs w:val="22"/>
              </w:rPr>
              <w:sym w:font="Wingdings 2" w:char="00A3"/>
            </w:r>
            <w:r>
              <w:rPr>
                <w:rFonts w:hint="eastAsia" w:ascii="宋体" w:hAnsi="宋体"/>
                <w:b/>
                <w:sz w:val="21"/>
                <w:szCs w:val="21"/>
                <w:lang w:eastAsia="zh-CN"/>
              </w:rPr>
              <w:t>RB</w:t>
            </w:r>
            <w:r>
              <w:rPr>
                <w:rFonts w:hint="eastAsia" w:ascii="宋体" w:hAnsi="宋体"/>
                <w:b/>
                <w:sz w:val="21"/>
                <w:szCs w:val="21"/>
                <w:lang w:val="en-US" w:eastAsia="zh-CN"/>
              </w:rPr>
              <w:t>/</w:t>
            </w:r>
            <w:r>
              <w:rPr>
                <w:rFonts w:hint="eastAsia" w:ascii="宋体" w:hAnsi="宋体"/>
                <w:b/>
                <w:sz w:val="21"/>
                <w:szCs w:val="21"/>
                <w:lang w:eastAsia="zh-CN"/>
              </w:rPr>
              <w:t xml:space="preserve">T 114-2014 </w:t>
            </w:r>
            <w:r>
              <w:rPr>
                <w:rFonts w:hint="eastAsia"/>
                <w:sz w:val="22"/>
                <w:szCs w:val="22"/>
              </w:rPr>
              <w:t xml:space="preserve">                </w:t>
            </w:r>
          </w:p>
          <w:p>
            <w:pPr>
              <w:snapToGrid w:val="0"/>
              <w:spacing w:line="0" w:lineRule="atLeast"/>
              <w:jc w:val="left"/>
              <w:rPr>
                <w:sz w:val="22"/>
                <w:szCs w:val="22"/>
              </w:rPr>
            </w:pPr>
            <w:r>
              <w:rPr>
                <w:rFonts w:hint="eastAsia"/>
                <w:sz w:val="22"/>
                <w:szCs w:val="22"/>
              </w:rPr>
              <w:sym w:font="Wingdings 2" w:char="00A3"/>
            </w:r>
            <w:r>
              <w:rPr>
                <w:rFonts w:hint="eastAsia"/>
                <w:sz w:val="22"/>
                <w:szCs w:val="22"/>
              </w:rPr>
              <w:t>ISO 22000-2018</w:t>
            </w:r>
          </w:p>
          <w:p>
            <w:pPr>
              <w:snapToGrid w:val="0"/>
              <w:spacing w:line="0" w:lineRule="atLeast"/>
              <w:jc w:val="left"/>
              <w:rPr>
                <w:sz w:val="22"/>
                <w:szCs w:val="22"/>
              </w:rPr>
            </w:pPr>
            <w:bookmarkStart w:id="9" w:name="H勾选"/>
            <w:r>
              <w:rPr>
                <w:rFonts w:hint="eastAsia"/>
                <w:sz w:val="22"/>
                <w:szCs w:val="22"/>
              </w:rPr>
              <w:t>□</w:t>
            </w:r>
            <w:bookmarkEnd w:id="9"/>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0" w:name="体系人数"/>
            <w:r>
              <w:rPr>
                <w:sz w:val="22"/>
                <w:szCs w:val="22"/>
              </w:rPr>
              <w:t>244</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1" w:name="初审"/>
            <w:r>
              <w:rPr>
                <w:rFonts w:hint="eastAsia"/>
                <w:b/>
                <w:color w:val="000000" w:themeColor="text1"/>
                <w:spacing w:val="-2"/>
                <w:sz w:val="21"/>
                <w:szCs w:val="21"/>
                <w14:textFill>
                  <w14:solidFill>
                    <w14:schemeClr w14:val="tx1"/>
                  </w14:solidFill>
                </w14:textFill>
              </w:rPr>
              <w:t>■</w:t>
            </w:r>
            <w:bookmarkEnd w:id="11"/>
            <w:r>
              <w:rPr>
                <w:rFonts w:hint="eastAsia"/>
                <w:b/>
                <w:color w:val="000000" w:themeColor="text1"/>
                <w:spacing w:val="-2"/>
                <w:sz w:val="21"/>
                <w:szCs w:val="21"/>
                <w14:textFill>
                  <w14:solidFill>
                    <w14:schemeClr w14:val="tx1"/>
                  </w14:solidFill>
                </w14:textFill>
              </w:rPr>
              <w:t>初次认证</w:t>
            </w:r>
            <w:bookmarkStart w:id="12" w:name="监督勾选"/>
            <w:r>
              <w:rPr>
                <w:rFonts w:hint="eastAsia"/>
                <w:b/>
                <w:color w:val="000000" w:themeColor="text1"/>
                <w:spacing w:val="-2"/>
                <w:sz w:val="21"/>
                <w:szCs w:val="21"/>
                <w14:textFill>
                  <w14:solidFill>
                    <w14:schemeClr w14:val="tx1"/>
                  </w14:solidFill>
                </w14:textFill>
              </w:rPr>
              <w:t>□</w:t>
            </w:r>
            <w:bookmarkEnd w:id="12"/>
            <w:r>
              <w:rPr>
                <w:rFonts w:hint="eastAsia"/>
                <w:b/>
                <w:color w:val="000000" w:themeColor="text1"/>
                <w:spacing w:val="-2"/>
                <w:sz w:val="21"/>
                <w:szCs w:val="21"/>
                <w14:textFill>
                  <w14:solidFill>
                    <w14:schemeClr w14:val="tx1"/>
                  </w14:solidFill>
                </w14:textFill>
              </w:rPr>
              <w:t>监督审核</w:t>
            </w:r>
            <w:bookmarkStart w:id="13" w:name="再认证勾选"/>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再认证</w:t>
            </w:r>
            <w:bookmarkStart w:id="14" w:name="特殊审核勾选"/>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5" w:name="组织名称Add1"/>
            <w:r>
              <w:rPr>
                <w:rFonts w:hint="eastAsia"/>
                <w:sz w:val="22"/>
                <w:szCs w:val="22"/>
              </w:rPr>
              <w:t>深州冀衡药业有限公司</w:t>
            </w:r>
            <w:bookmarkEnd w:id="15"/>
          </w:p>
        </w:tc>
        <w:tc>
          <w:tcPr>
            <w:tcW w:w="5013" w:type="dxa"/>
            <w:gridSpan w:val="4"/>
            <w:vMerge w:val="restart"/>
          </w:tcPr>
          <w:p>
            <w:pPr>
              <w:snapToGrid w:val="0"/>
              <w:spacing w:line="0" w:lineRule="atLeast"/>
              <w:jc w:val="left"/>
              <w:rPr>
                <w:sz w:val="22"/>
                <w:szCs w:val="22"/>
              </w:rPr>
            </w:pPr>
            <w:bookmarkStart w:id="16" w:name="审核范围"/>
            <w:r>
              <w:rPr>
                <w:sz w:val="22"/>
                <w:szCs w:val="22"/>
              </w:rPr>
              <w:t>化学药品原料（对乙酰氨基酚</w:t>
            </w:r>
            <w:r>
              <w:rPr>
                <w:rFonts w:hint="eastAsia"/>
                <w:sz w:val="22"/>
                <w:szCs w:val="22"/>
              </w:rPr>
              <w:t>、</w:t>
            </w:r>
            <w:r>
              <w:rPr>
                <w:sz w:val="22"/>
                <w:szCs w:val="22"/>
              </w:rPr>
              <w:t>对乙酰氨基酚</w:t>
            </w:r>
            <w:r>
              <w:rPr>
                <w:rFonts w:hint="eastAsia"/>
                <w:sz w:val="22"/>
                <w:szCs w:val="22"/>
              </w:rPr>
              <w:t>颗粒</w:t>
            </w:r>
            <w:r>
              <w:rPr>
                <w:sz w:val="22"/>
                <w:szCs w:val="22"/>
              </w:rPr>
              <w:t>）的生产所涉及的能源管理活动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7" w:name="注册地址"/>
            <w:r>
              <w:rPr>
                <w:rFonts w:hint="eastAsia"/>
                <w:sz w:val="22"/>
                <w:szCs w:val="22"/>
                <w:lang w:val="en-GB"/>
              </w:rPr>
              <w:t>河北省衡水市深州市东安庄乡西景明村郭辛线西侧</w:t>
            </w:r>
            <w:bookmarkEnd w:id="17"/>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8" w:name="办公地址"/>
            <w:r>
              <w:rPr>
                <w:rFonts w:hint="eastAsia"/>
                <w:sz w:val="22"/>
                <w:szCs w:val="22"/>
                <w:lang w:val="en-GB"/>
              </w:rPr>
              <w:t>河北省衡水市深州市东安庄乡西景明村郭辛线西侧</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kern w:val="0"/>
                <w:sz w:val="28"/>
                <w:szCs w:val="28"/>
              </w:rPr>
              <w:t>Shenzhou</w:t>
            </w:r>
            <w:r>
              <w:rPr>
                <w:kern w:val="0"/>
                <w:sz w:val="28"/>
                <w:szCs w:val="28"/>
              </w:rPr>
              <w:t xml:space="preserve"> Jiheng</w:t>
            </w:r>
            <w:r>
              <w:rPr>
                <w:rFonts w:hint="eastAsia"/>
                <w:kern w:val="0"/>
                <w:sz w:val="28"/>
                <w:szCs w:val="28"/>
              </w:rPr>
              <w:t xml:space="preserve"> </w:t>
            </w:r>
            <w:r>
              <w:rPr>
                <w:kern w:val="0"/>
                <w:sz w:val="28"/>
                <w:szCs w:val="28"/>
              </w:rPr>
              <w:t>Pharmaceutical Co.,</w:t>
            </w:r>
            <w:r>
              <w:rPr>
                <w:rFonts w:hint="eastAsia"/>
                <w:kern w:val="0"/>
                <w:sz w:val="28"/>
                <w:szCs w:val="28"/>
              </w:rPr>
              <w:t xml:space="preserve"> </w:t>
            </w:r>
            <w:r>
              <w:rPr>
                <w:kern w:val="0"/>
                <w:sz w:val="28"/>
                <w:szCs w:val="28"/>
              </w:rPr>
              <w:t>Ltd</w:t>
            </w:r>
            <w:r>
              <w:rPr>
                <w:rFonts w:hint="eastAsia"/>
                <w:kern w:val="0"/>
                <w:sz w:val="28"/>
                <w:szCs w:val="28"/>
              </w:rPr>
              <w:t>.</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kern w:val="0"/>
                <w:sz w:val="22"/>
                <w:szCs w:val="22"/>
                <w:lang w:val="en-GB"/>
              </w:rPr>
              <w:t xml:space="preserve">West of Guoxin </w:t>
            </w:r>
            <w:r>
              <w:rPr>
                <w:rFonts w:hint="eastAsia"/>
                <w:kern w:val="0"/>
                <w:sz w:val="22"/>
                <w:szCs w:val="22"/>
                <w:lang w:val="en-GB"/>
              </w:rPr>
              <w:t xml:space="preserve">Road, </w:t>
            </w:r>
            <w:r>
              <w:rPr>
                <w:kern w:val="0"/>
                <w:sz w:val="22"/>
                <w:szCs w:val="22"/>
                <w:lang w:val="en-GB"/>
              </w:rPr>
              <w:t>Xijingming Village, Donganzhuang Township, Shenzhou County</w:t>
            </w:r>
            <w:r>
              <w:rPr>
                <w:rFonts w:hint="eastAsia"/>
                <w:kern w:val="0"/>
                <w:sz w:val="22"/>
                <w:szCs w:val="22"/>
                <w:lang w:val="en-GB"/>
              </w:rPr>
              <w:t>,</w:t>
            </w:r>
            <w:r>
              <w:rPr>
                <w:kern w:val="0"/>
                <w:sz w:val="22"/>
                <w:szCs w:val="22"/>
                <w:lang w:val="en-GB"/>
              </w:rPr>
              <w:t xml:space="preserve"> Hengshui City, Hebei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r>
              <w:rPr>
                <w:sz w:val="22"/>
                <w:szCs w:val="22"/>
              </w:rPr>
              <w:t xml:space="preserve">Energy management activities involved in the production of chemical </w:t>
            </w:r>
            <w:r>
              <w:rPr>
                <w:rFonts w:hint="eastAsia"/>
                <w:sz w:val="22"/>
                <w:szCs w:val="22"/>
              </w:rPr>
              <w:t>API</w:t>
            </w:r>
            <w:r>
              <w:rPr>
                <w:sz w:val="22"/>
                <w:szCs w:val="22"/>
              </w:rPr>
              <w:t>s (</w:t>
            </w:r>
            <w:r>
              <w:rPr>
                <w:rFonts w:hint="eastAsia"/>
                <w:sz w:val="22"/>
                <w:szCs w:val="22"/>
              </w:rPr>
              <w:t>Paracetamol</w:t>
            </w:r>
            <w:r>
              <w:rPr>
                <w:sz w:val="22"/>
                <w:szCs w:val="22"/>
              </w:rPr>
              <w:t xml:space="preserve">, </w:t>
            </w:r>
            <w:r>
              <w:rPr>
                <w:rFonts w:hint="eastAsia"/>
                <w:sz w:val="22"/>
                <w:szCs w:val="22"/>
              </w:rPr>
              <w:t>Paracetamol</w:t>
            </w:r>
            <w:r>
              <w:rPr>
                <w:sz w:val="22"/>
                <w:szCs w:val="22"/>
              </w:rPr>
              <w:t xml:space="preserve"> granules)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kern w:val="0"/>
                <w:sz w:val="22"/>
                <w:szCs w:val="22"/>
                <w:lang w:val="en-GB"/>
              </w:rPr>
              <w:t xml:space="preserve">West of Guoxin </w:t>
            </w:r>
            <w:r>
              <w:rPr>
                <w:rFonts w:hint="eastAsia"/>
                <w:kern w:val="0"/>
                <w:sz w:val="22"/>
                <w:szCs w:val="22"/>
                <w:lang w:val="en-GB"/>
              </w:rPr>
              <w:t xml:space="preserve">Road, </w:t>
            </w:r>
            <w:r>
              <w:rPr>
                <w:kern w:val="0"/>
                <w:sz w:val="22"/>
                <w:szCs w:val="22"/>
                <w:lang w:val="en-GB"/>
              </w:rPr>
              <w:t>Xijingming Village, Donganzhuang Township, Shenzhou County</w:t>
            </w:r>
            <w:r>
              <w:rPr>
                <w:rFonts w:hint="eastAsia"/>
                <w:kern w:val="0"/>
                <w:sz w:val="22"/>
                <w:szCs w:val="22"/>
                <w:lang w:val="en-GB"/>
              </w:rPr>
              <w:t>,</w:t>
            </w:r>
            <w:r>
              <w:rPr>
                <w:kern w:val="0"/>
                <w:sz w:val="22"/>
                <w:szCs w:val="22"/>
                <w:lang w:val="en-GB"/>
              </w:rPr>
              <w:t xml:space="preserve"> Hengshui City, Hebei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能源管理体系认证证书附件</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获证组织名称：</w:t>
      </w:r>
      <w:bookmarkStart w:id="19" w:name="组织名称Add2"/>
      <w:r>
        <w:rPr>
          <w:rFonts w:hint="eastAsia"/>
          <w:b/>
          <w:color w:val="000000" w:themeColor="text1"/>
          <w:sz w:val="22"/>
          <w:szCs w:val="22"/>
          <w14:textFill>
            <w14:solidFill>
              <w14:schemeClr w14:val="tx1"/>
            </w14:solidFill>
          </w14:textFill>
        </w:rPr>
        <w:t>深州冀衡药业有限公司</w:t>
      </w:r>
      <w:bookmarkEnd w:id="19"/>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证书注册号：</w:t>
      </w:r>
      <w:bookmarkStart w:id="20" w:name="证书编号Add1"/>
      <w:bookmarkEnd w:id="20"/>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获证组织地址：</w:t>
      </w:r>
      <w:bookmarkStart w:id="21" w:name="生产地址"/>
      <w:r>
        <w:rPr>
          <w:b/>
          <w:color w:val="000000" w:themeColor="text1"/>
          <w:sz w:val="22"/>
          <w:szCs w:val="22"/>
          <w14:textFill>
            <w14:solidFill>
              <w14:schemeClr w14:val="tx1"/>
            </w14:solidFill>
          </w14:textFill>
        </w:rPr>
        <w:t>河北省衡水市深州市东安庄乡西景明村郭辛线西侧</w:t>
      </w:r>
      <w:bookmarkEnd w:id="21"/>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认证依据标准：GB/T 23331-2020/ISO50001:2018《能源管理体系 要求及使用指南》</w:t>
      </w:r>
    </w:p>
    <w:p>
      <w:pPr>
        <w:pStyle w:val="2"/>
        <w:spacing w:line="400" w:lineRule="exact"/>
        <w:ind w:firstLine="1546" w:firstLineChars="70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&amp;RB/T 114-2014 《</w:t>
      </w:r>
      <w:r>
        <w:rPr>
          <w:rFonts w:hint="eastAsia" w:ascii="宋体" w:hAnsi="宋体"/>
          <w:b/>
          <w:sz w:val="21"/>
          <w:szCs w:val="21"/>
        </w:rPr>
        <w:t>能源管理体系 纯碱、焦化、橡塑制品、制药等化工企业认证要求》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审核类型及时间</w:t>
            </w:r>
          </w:p>
        </w:tc>
        <w:tc>
          <w:tcPr>
            <w:tcW w:w="4735" w:type="dxa"/>
          </w:tcPr>
          <w:p>
            <w:pPr>
              <w:pStyle w:val="2"/>
              <w:spacing w:line="400" w:lineRule="exact"/>
              <w:ind w:firstLine="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能源数据</w:t>
            </w:r>
          </w:p>
        </w:tc>
        <w:tc>
          <w:tcPr>
            <w:tcW w:w="2835" w:type="dxa"/>
          </w:tcPr>
          <w:p>
            <w:pPr>
              <w:pStyle w:val="2"/>
              <w:spacing w:line="400" w:lineRule="exact"/>
              <w:ind w:firstLine="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2022</w:t>
            </w:r>
            <w:r>
              <w:rPr>
                <w:rFonts w:hint="eastAsia"/>
                <w:sz w:val="20"/>
                <w:szCs w:val="22"/>
              </w:rPr>
              <w:t>年</w:t>
            </w:r>
            <w:r>
              <w:rPr>
                <w:rFonts w:hint="eastAsia"/>
                <w:sz w:val="20"/>
                <w:szCs w:val="22"/>
                <w:u w:val="single"/>
              </w:rPr>
              <w:t>5</w:t>
            </w:r>
            <w:r>
              <w:rPr>
                <w:rFonts w:hint="eastAsia"/>
                <w:sz w:val="20"/>
                <w:szCs w:val="22"/>
              </w:rPr>
              <w:t>月</w:t>
            </w:r>
          </w:p>
          <w:p>
            <w:pPr>
              <w:pStyle w:val="2"/>
              <w:spacing w:line="400" w:lineRule="exact"/>
              <w:ind w:firstLine="0"/>
              <w:rPr>
                <w:rFonts w:ascii="宋体" w:hAnsi="宋体"/>
                <w:b/>
                <w:color w:val="000000" w:themeColor="text1"/>
                <w:sz w:val="24"/>
                <w:szCs w:val="24"/>
                <w14:textFill>
                  <w14:solidFill>
                    <w14:schemeClr w14:val="tx1"/>
                  </w14:solidFill>
                </w14:textFill>
              </w:rPr>
            </w:pPr>
            <w:r>
              <w:rPr>
                <w:rFonts w:hint="eastAsia"/>
                <w:sz w:val="20"/>
                <w:szCs w:val="22"/>
                <w:u w:val="single"/>
              </w:rPr>
              <w:t>21~23</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14:textFill>
                  <w14:solidFill>
                    <w14:schemeClr w14:val="tx1"/>
                  </w14:solidFill>
                </w14:textFill>
              </w:rPr>
            </w:pPr>
            <w:r>
              <w:rPr>
                <w:rFonts w:hint="eastAsia"/>
                <w:sz w:val="20"/>
                <w:szCs w:val="22"/>
                <w:u w:val="single"/>
              </w:rPr>
              <w:t>2021</w:t>
            </w:r>
            <w:r>
              <w:rPr>
                <w:rFonts w:hint="eastAsia"/>
                <w:sz w:val="20"/>
                <w:szCs w:val="22"/>
              </w:rPr>
              <w:t>年</w:t>
            </w:r>
            <w:r>
              <w:rPr>
                <w:rFonts w:hint="eastAsia"/>
                <w:sz w:val="20"/>
                <w:szCs w:val="22"/>
                <w:u w:val="single"/>
              </w:rPr>
              <w:t>01</w:t>
            </w:r>
            <w:r>
              <w:rPr>
                <w:rFonts w:hint="eastAsia"/>
                <w:sz w:val="20"/>
                <w:szCs w:val="22"/>
              </w:rPr>
              <w:t>月01日至</w:t>
            </w:r>
            <w:r>
              <w:rPr>
                <w:rFonts w:hint="eastAsia"/>
                <w:sz w:val="20"/>
                <w:szCs w:val="22"/>
                <w:u w:val="single"/>
              </w:rPr>
              <w:t>2021</w:t>
            </w:r>
            <w:r>
              <w:rPr>
                <w:rFonts w:hint="eastAsia"/>
                <w:sz w:val="20"/>
                <w:szCs w:val="22"/>
              </w:rPr>
              <w:t>年</w:t>
            </w:r>
            <w:r>
              <w:rPr>
                <w:rFonts w:hint="eastAsia"/>
                <w:sz w:val="20"/>
                <w:szCs w:val="22"/>
                <w:u w:val="single"/>
              </w:rPr>
              <w:t>21</w:t>
            </w:r>
            <w:r>
              <w:rPr>
                <w:rFonts w:hint="eastAsia"/>
                <w:sz w:val="20"/>
                <w:szCs w:val="22"/>
              </w:rPr>
              <w:t>月</w:t>
            </w:r>
            <w:r>
              <w:rPr>
                <w:rFonts w:hint="eastAsia"/>
                <w:sz w:val="20"/>
                <w:szCs w:val="22"/>
                <w:u w:val="single"/>
              </w:rPr>
              <w:t>31</w:t>
            </w:r>
            <w:r>
              <w:rPr>
                <w:rFonts w:hint="eastAsia"/>
                <w:sz w:val="20"/>
                <w:szCs w:val="22"/>
              </w:rPr>
              <w:t>日</w:t>
            </w:r>
          </w:p>
        </w:tc>
        <w:tc>
          <w:tcPr>
            <w:tcW w:w="2835" w:type="dxa"/>
            <w:vMerge w:val="restart"/>
          </w:tcPr>
          <w:p>
            <w:pPr>
              <w:pStyle w:val="2"/>
              <w:spacing w:line="240" w:lineRule="auto"/>
              <w:ind w:firstLine="0"/>
              <w:rPr>
                <w:sz w:val="20"/>
                <w:szCs w:val="22"/>
              </w:rPr>
            </w:pPr>
            <w:r>
              <w:rPr>
                <w:rFonts w:hint="eastAsia"/>
                <w:b/>
                <w:bCs/>
                <w:sz w:val="20"/>
                <w:szCs w:val="22"/>
              </w:rPr>
              <w:t>单位名称：</w:t>
            </w:r>
            <w:r>
              <w:rPr>
                <w:rFonts w:hint="eastAsia"/>
                <w:sz w:val="20"/>
                <w:szCs w:val="22"/>
              </w:rPr>
              <w:t>深州冀衡药业有限公司</w:t>
            </w:r>
          </w:p>
          <w:p>
            <w:pPr>
              <w:pStyle w:val="2"/>
              <w:spacing w:line="240" w:lineRule="auto"/>
              <w:ind w:firstLine="0"/>
              <w:rPr>
                <w:sz w:val="20"/>
                <w:szCs w:val="22"/>
              </w:rPr>
            </w:pPr>
            <w:r>
              <w:rPr>
                <w:rFonts w:hint="eastAsia"/>
                <w:b/>
                <w:bCs/>
                <w:sz w:val="20"/>
                <w:szCs w:val="22"/>
              </w:rPr>
              <w:t>地址：</w:t>
            </w:r>
            <w:r>
              <w:rPr>
                <w:rFonts w:hint="eastAsia"/>
                <w:sz w:val="20"/>
                <w:szCs w:val="22"/>
              </w:rPr>
              <w:t>河北省衡水市深州市东安庄乡西景明村郭辛线西侧区域内的化学药品原料（对乙酰氨基酚、对乙酰氨基酚颗粒）的生产所涉及的能源采购、加工、转换、使用过程的相关管理活动</w:t>
            </w:r>
          </w:p>
          <w:p>
            <w:pPr>
              <w:pStyle w:val="2"/>
              <w:spacing w:line="240" w:lineRule="auto"/>
              <w:ind w:firstLine="0"/>
              <w:rPr>
                <w:sz w:val="20"/>
                <w:szCs w:val="22"/>
              </w:rPr>
            </w:pPr>
            <w:r>
              <w:rPr>
                <w:rFonts w:hint="eastAsia"/>
                <w:b/>
                <w:bCs/>
                <w:sz w:val="20"/>
                <w:szCs w:val="22"/>
              </w:rPr>
              <w:t>生产及辅助系统</w:t>
            </w:r>
            <w:r>
              <w:rPr>
                <w:rFonts w:hint="eastAsia"/>
                <w:sz w:val="20"/>
                <w:szCs w:val="22"/>
              </w:rPr>
              <w:t>：</w:t>
            </w:r>
          </w:p>
          <w:p>
            <w:pPr>
              <w:pStyle w:val="2"/>
              <w:spacing w:line="240" w:lineRule="auto"/>
              <w:ind w:firstLine="0"/>
              <w:rPr>
                <w:sz w:val="20"/>
                <w:szCs w:val="22"/>
              </w:rPr>
            </w:pPr>
            <w:r>
              <w:rPr>
                <w:rFonts w:hint="eastAsia"/>
                <w:sz w:val="20"/>
                <w:szCs w:val="22"/>
              </w:rPr>
              <w:t>生产科（包括：对乙酰氨基酚车间、对乙酰氨基酚颗粒车间、动力车间）</w:t>
            </w:r>
          </w:p>
          <w:p>
            <w:pPr>
              <w:pStyle w:val="2"/>
              <w:spacing w:line="320" w:lineRule="exact"/>
              <w:ind w:firstLine="0"/>
              <w:rPr>
                <w:rFonts w:ascii="宋体" w:hAnsi="宋体"/>
                <w:b/>
                <w:color w:val="000000" w:themeColor="text1"/>
                <w:sz w:val="24"/>
                <w:szCs w:val="24"/>
                <w14:textFill>
                  <w14:solidFill>
                    <w14:schemeClr w14:val="tx1"/>
                  </w14:solidFill>
                </w14:textFill>
              </w:rPr>
            </w:pPr>
            <w:r>
              <w:rPr>
                <w:rFonts w:hint="eastAsia"/>
                <w:b/>
                <w:bCs/>
                <w:sz w:val="20"/>
                <w:szCs w:val="22"/>
              </w:rPr>
              <w:t>相关部门</w:t>
            </w:r>
            <w:r>
              <w:rPr>
                <w:rFonts w:hint="eastAsia"/>
                <w:sz w:val="20"/>
                <w:szCs w:val="22"/>
              </w:rPr>
              <w:t>：办公室、质量科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产量：7948 吨</w:t>
            </w:r>
          </w:p>
          <w:p>
            <w:pPr>
              <w:pStyle w:val="2"/>
              <w:spacing w:line="320" w:lineRule="exact"/>
              <w:ind w:firstLine="0"/>
              <w:rPr>
                <w:rFonts w:ascii="宋体" w:hAnsi="宋体"/>
                <w:b/>
                <w:color w:val="000000" w:themeColor="text1"/>
                <w:szCs w:val="24"/>
                <w14:textFill>
                  <w14:solidFill>
                    <w14:schemeClr w14:val="tx1"/>
                  </w14:solidFill>
                </w14:textFill>
              </w:rPr>
            </w:pPr>
            <w:r>
              <w:rPr>
                <w:rFonts w:hint="eastAsia"/>
                <w:b/>
                <w:bCs/>
                <w:sz w:val="20"/>
              </w:rPr>
              <w:t>产值（万元）：28101.49</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：6042.74</w:t>
            </w:r>
          </w:p>
          <w:p>
            <w:pPr>
              <w:pStyle w:val="2"/>
              <w:spacing w:line="320" w:lineRule="exact"/>
              <w:ind w:firstLine="0"/>
              <w:rPr>
                <w:rFonts w:ascii="宋体" w:hAnsi="宋体"/>
                <w:b/>
                <w:color w:val="000000" w:themeColor="text1"/>
                <w:szCs w:val="24"/>
                <w14:textFill>
                  <w14:solidFill>
                    <w14:schemeClr w14:val="tx1"/>
                  </w14:solidFill>
                </w14:textFill>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lang w:val="zh-CN"/>
              </w:rPr>
              <w:t>单位</w:t>
            </w:r>
            <w:r>
              <w:rPr>
                <w:rFonts w:hint="eastAsia"/>
                <w:b/>
                <w:bCs/>
                <w:sz w:val="20"/>
                <w:szCs w:val="22"/>
              </w:rPr>
              <w:t>产品综合</w:t>
            </w:r>
            <w:r>
              <w:rPr>
                <w:rFonts w:hint="eastAsia"/>
                <w:b/>
                <w:bCs/>
                <w:sz w:val="20"/>
                <w:szCs w:val="22"/>
                <w:lang w:val="zh-CN"/>
              </w:rPr>
              <w:t>能耗：</w:t>
            </w:r>
            <w:r>
              <w:rPr>
                <w:rFonts w:hint="eastAsia"/>
                <w:b/>
                <w:bCs/>
                <w:sz w:val="20"/>
                <w:szCs w:val="22"/>
                <w:lang w:val="en-US" w:eastAsia="zh-CN"/>
              </w:rPr>
              <w:t>760.28</w:t>
            </w:r>
            <w:r>
              <w:rPr>
                <w:rFonts w:hint="eastAsia"/>
                <w:lang w:val="en-US" w:eastAsia="zh-CN"/>
              </w:rPr>
              <w:t xml:space="preserve"> </w:t>
            </w:r>
            <w:r>
              <w:rPr>
                <w:rFonts w:hint="eastAsia"/>
                <w:b/>
                <w:bCs/>
                <w:sz w:val="20"/>
                <w:szCs w:val="22"/>
              </w:rPr>
              <w:t>kgce/t</w:t>
            </w:r>
          </w:p>
          <w:p>
            <w:pPr>
              <w:rPr>
                <w:rFonts w:ascii="宋体" w:hAnsi="宋体"/>
                <w:b/>
                <w:color w:val="000000" w:themeColor="text1"/>
                <w:szCs w:val="24"/>
                <w14:textFill>
                  <w14:solidFill>
                    <w14:schemeClr w14:val="tx1"/>
                  </w14:solidFill>
                </w14:textFill>
              </w:rPr>
            </w:pPr>
            <w:r>
              <w:rPr>
                <w:rFonts w:hint="eastAsia"/>
                <w:b/>
                <w:bCs/>
                <w:sz w:val="20"/>
                <w:szCs w:val="22"/>
              </w:rPr>
              <w:t>单位产值综合能耗：0.2</w:t>
            </w:r>
            <w:r>
              <w:rPr>
                <w:rFonts w:hint="eastAsia"/>
                <w:b/>
                <w:bCs/>
                <w:sz w:val="20"/>
                <w:szCs w:val="22"/>
                <w:lang w:val="en-US" w:eastAsia="zh-CN"/>
              </w:rPr>
              <w:t>2</w:t>
            </w:r>
            <w:r>
              <w:rPr>
                <w:rFonts w:hint="eastAsia"/>
                <w:b/>
                <w:bCs/>
                <w:sz w:val="20"/>
                <w:szCs w:val="22"/>
              </w:rPr>
              <w:t xml:space="preserve"> tce/万元</w:t>
            </w:r>
            <w:bookmarkStart w:id="22" w:name="_GoBack"/>
            <w:bookmarkEnd w:id="22"/>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节能量（吨标准煤）：政府未下达节能指标</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14:textFill>
                  <w14:solidFill>
                    <w14:schemeClr w14:val="tx1"/>
                  </w14:solidFill>
                </w14:textFill>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14:textFill>
                  <w14:solidFill>
                    <w14:schemeClr w14:val="tx1"/>
                  </w14:solidFill>
                </w14:textFill>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14:textFill>
                  <w14:solidFill>
                    <w14:schemeClr w14:val="tx1"/>
                  </w14:solidFill>
                </w14:textFill>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14:textFill>
                  <w14:solidFill>
                    <w14:schemeClr w14:val="tx1"/>
                  </w14:solidFill>
                </w14:textFill>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14:textFill>
                  <w14:solidFill>
                    <w14:schemeClr w14:val="tx1"/>
                  </w14:solidFill>
                </w14:textFill>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14:textFill>
                  <w14:solidFill>
                    <w14:schemeClr w14:val="tx1"/>
                  </w14:solidFill>
                </w14:textFill>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14:textFill>
                  <w14:solidFill>
                    <w14:schemeClr w14:val="tx1"/>
                  </w14:solidFill>
                </w14:textFill>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14:textFill>
                  <w14:solidFill>
                    <w14:schemeClr w14:val="tx1"/>
                  </w14:solidFill>
                </w14:textFill>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14:textFill>
                  <w14:solidFill>
                    <w14:schemeClr w14:val="tx1"/>
                  </w14:solidFill>
                </w14:textFill>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14:textFill>
                  <w14:solidFill>
                    <w14:schemeClr w14:val="tx1"/>
                  </w14:solidFill>
                </w14:textFill>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270" b="10160"/>
              <wp:wrapNone/>
              <wp:docPr id="1"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ALAjYAAAACQEAAA8AAAAAAAAAAQAgAAAAIgAAAGRycy9kb3ducmV2&#10;LnhtbFBLAQIUABQAAAAIAIdO4kCUWhH2wwEAAHo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tentative="0">
      <w:start w:val="1"/>
      <w:numFmt w:val="lowerLetter"/>
      <w:pStyle w:val="18"/>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ZTc3NWZjY2ZmMTdhNjNmYjYwYjU3MDcwMGVmOTUifQ=="/>
  </w:docVars>
  <w:rsids>
    <w:rsidRoot w:val="008D6A69"/>
    <w:rsid w:val="008D6A69"/>
    <w:rsid w:val="00907D86"/>
    <w:rsid w:val="00FE3919"/>
    <w:rsid w:val="0E2313D4"/>
    <w:rsid w:val="297244DC"/>
    <w:rsid w:val="2DBA0C8E"/>
    <w:rsid w:val="4E623AEB"/>
    <w:rsid w:val="62A466F8"/>
    <w:rsid w:val="755440A9"/>
    <w:rsid w:val="77AD5676"/>
    <w:rsid w:val="79DD5B20"/>
    <w:rsid w:val="7BFD17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 w:type="paragraph" w:customStyle="1" w:styleId="18">
    <w:name w:val="字母编号列项（一级）"/>
    <w:qFormat/>
    <w:uiPriority w:val="0"/>
    <w:pPr>
      <w:numPr>
        <w:ilvl w:val="0"/>
        <w:numId w:val="1"/>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1061</Words>
  <Characters>1759</Characters>
  <Lines>15</Lines>
  <Paragraphs>4</Paragraphs>
  <TotalTime>0</TotalTime>
  <ScaleCrop>false</ScaleCrop>
  <LinksUpToDate>false</LinksUpToDate>
  <CharactersWithSpaces>1946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丽英</cp:lastModifiedBy>
  <cp:lastPrinted>2019-05-13T03:13:00Z</cp:lastPrinted>
  <dcterms:modified xsi:type="dcterms:W3CDTF">2022-05-23T08:53:53Z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2052-11.1.0.10314</vt:lpwstr>
  </property>
</Properties>
</file>