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0402-2022-Q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河北鑫旺工程建设服务有限公司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2022年05月13日 上午至2022年05月13日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河北省石家庄鹿泉绿岛经济开发区核心碧水街81号军鼎科技园14号楼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河北鑫旺工程建设服务有限公司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河北省石家庄市桥西区红旗大街88号翰林观天下22号公寓1901-1907室</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河北省石家庄鹿泉绿岛经济开发区核心碧水街81号军鼎科技园14号楼</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谢姗姗</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18032179931</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张静</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谢姗姗</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29" w:name="审核范围"/>
            <w:r>
              <w:t>建设项目环境影响评价</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客户委托---合同评审---合同签订---现场踏勘---编制环境影响评价报告---环境影响评价文件编制完成---开专家评审会---按专家会修改报告---报生态环境部审批---项目批复（出批文）---项目完成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tabs>
                <w:tab w:val="left" w:pos="360"/>
              </w:tabs>
              <w:ind w:left="360" w:hanging="360"/>
              <w:rPr>
                <w:rFonts w:ascii="宋体" w:hAnsi="宋体"/>
                <w:b/>
                <w:color w:val="000000"/>
                <w:szCs w:val="21"/>
              </w:rPr>
            </w:pPr>
            <w:r>
              <w:t>建设项目环境影响评价</w:t>
            </w:r>
          </w:p>
        </w:tc>
        <w:tc>
          <w:tcPr>
            <w:tcW w:w="2006" w:type="dxa"/>
            <w:gridSpan w:val="3"/>
            <w:vAlign w:val="center"/>
          </w:tcPr>
          <w:p>
            <w:pPr>
              <w:spacing w:line="400" w:lineRule="exact"/>
              <w:rPr>
                <w:rFonts w:ascii="宋体" w:hAnsi="宋体"/>
                <w:b/>
                <w:color w:val="000000"/>
                <w:szCs w:val="21"/>
              </w:rPr>
            </w:pPr>
            <w:r>
              <w:rPr>
                <w:b/>
                <w:color w:val="000000"/>
                <w:szCs w:val="21"/>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sz w:val="24"/>
                <w:szCs w:val="24"/>
              </w:rPr>
            </w:pPr>
            <w:r>
              <w:rPr>
                <w:rFonts w:hint="eastAsia"/>
                <w:color w:val="000000"/>
                <w:sz w:val="24"/>
                <w:szCs w:val="24"/>
              </w:rPr>
              <w:t>河北鑫旺工程建设服务有限公司</w:t>
            </w:r>
          </w:p>
          <w:p>
            <w:pPr>
              <w:spacing w:before="40" w:after="40"/>
              <w:rPr>
                <w:rFonts w:hint="eastAsia"/>
                <w:color w:val="000000"/>
                <w:sz w:val="24"/>
                <w:szCs w:val="24"/>
                <w:lang w:val="de-DE" w:eastAsia="ja-JP"/>
              </w:rPr>
            </w:pPr>
            <w:r>
              <w:rPr>
                <w:sz w:val="21"/>
                <w:szCs w:val="21"/>
              </w:rPr>
              <w:t>河北省石家庄市桥西区红旗大街88号翰林观天下22号公寓1901-1907室</w:t>
            </w:r>
          </w:p>
        </w:tc>
        <w:tc>
          <w:tcPr>
            <w:tcW w:w="2267" w:type="dxa"/>
          </w:tcPr>
          <w:p>
            <w:pPr>
              <w:spacing w:before="40" w:after="40"/>
              <w:rPr>
                <w:rFonts w:eastAsia="黑体"/>
                <w:szCs w:val="21"/>
                <w:lang w:val="de-DE" w:eastAsia="ja-JP"/>
              </w:rPr>
            </w:pPr>
            <w:r>
              <w:rPr>
                <w:sz w:val="21"/>
                <w:szCs w:val="21"/>
              </w:rPr>
              <w:t>河北省石家庄鹿泉绿岛经济开发区核心碧水街81号军鼎科技园14号楼</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25</w:t>
            </w:r>
          </w:p>
        </w:tc>
        <w:tc>
          <w:tcPr>
            <w:tcW w:w="2803" w:type="dxa"/>
            <w:vAlign w:val="center"/>
          </w:tcPr>
          <w:p>
            <w:pPr>
              <w:spacing w:before="40" w:after="40"/>
              <w:rPr>
                <w:rFonts w:eastAsia="黑体" w:cs="Arial"/>
                <w:sz w:val="21"/>
                <w:szCs w:val="21"/>
                <w:lang w:val="en-US" w:eastAsia="ja-JP"/>
              </w:rPr>
            </w:pPr>
            <w:r>
              <w:t>建设项目环境影响评价</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楷体" w:hAnsi="楷体" w:eastAsia="楷体" w:cs="楷体"/>
                <w:sz w:val="21"/>
                <w:szCs w:val="21"/>
              </w:rPr>
              <w:t>项目</w:t>
            </w:r>
            <w:r>
              <w:rPr>
                <w:rFonts w:hint="eastAsia" w:ascii="楷体" w:hAnsi="楷体" w:eastAsia="楷体" w:cs="楷体"/>
                <w:sz w:val="21"/>
                <w:szCs w:val="21"/>
                <w:lang w:val="en-US" w:eastAsia="zh-CN"/>
              </w:rPr>
              <w:t>洽谈</w:t>
            </w:r>
            <w:r>
              <w:rPr>
                <w:rFonts w:hint="eastAsia" w:ascii="楷体" w:hAnsi="楷体" w:eastAsia="楷体" w:cs="楷体"/>
                <w:sz w:val="21"/>
                <w:szCs w:val="21"/>
              </w:rPr>
              <w:t>、</w:t>
            </w:r>
            <w:r>
              <w:rPr>
                <w:rFonts w:hint="eastAsia"/>
                <w:color w:val="000000"/>
              </w:rPr>
              <w:t>现场踏勘</w:t>
            </w:r>
            <w:r>
              <w:rPr>
                <w:rFonts w:hint="eastAsia"/>
                <w:color w:val="000000"/>
                <w:lang w:eastAsia="zh-CN"/>
              </w:rPr>
              <w:t>、</w:t>
            </w:r>
            <w:r>
              <w:rPr>
                <w:rFonts w:hint="eastAsia"/>
                <w:color w:val="000000"/>
              </w:rPr>
              <w:t>编制环境影响评价报告</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rPr>
              <w:t>环评编制过程</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FF"/>
                <w:spacing w:val="-10"/>
                <w:szCs w:val="21"/>
              </w:rPr>
            </w:pPr>
            <w:bookmarkStart w:id="31" w:name="_GoBack"/>
            <w:r>
              <w:rPr>
                <w:rFonts w:hint="eastAsia" w:ascii="宋体" w:hAnsi="宋体"/>
                <w:color w:val="auto"/>
                <w:spacing w:val="-10"/>
                <w:szCs w:val="21"/>
              </w:rPr>
              <w:t>外包过程（</w:t>
            </w:r>
            <w:r>
              <w:rPr>
                <w:rFonts w:ascii="宋体" w:hAnsi="宋体"/>
                <w:color w:val="auto"/>
                <w:spacing w:val="-10"/>
                <w:szCs w:val="21"/>
              </w:rPr>
              <w:t>QMS</w:t>
            </w:r>
            <w:r>
              <w:rPr>
                <w:rFonts w:hint="eastAsia" w:ascii="宋体" w:hAnsi="宋体"/>
                <w:color w:val="auto"/>
                <w:spacing w:val="-10"/>
                <w:szCs w:val="21"/>
              </w:rPr>
              <w:t>）的识别</w:t>
            </w:r>
            <w:bookmarkEnd w:id="31"/>
          </w:p>
        </w:tc>
        <w:tc>
          <w:tcPr>
            <w:tcW w:w="4191" w:type="dxa"/>
            <w:shd w:val="clear" w:color="auto" w:fill="DBEEF3" w:themeFill="accent5" w:themeFillTint="32"/>
          </w:tcPr>
          <w:p>
            <w:pPr>
              <w:rPr>
                <w:rFonts w:ascii="宋体"/>
                <w:color w:val="0000FF"/>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2022-05-1</w:t>
            </w:r>
            <w:bookmarkEnd w:id="30"/>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0288" behindDoc="0" locked="0" layoutInCell="1" allowOverlap="1">
            <wp:simplePos x="0" y="0"/>
            <wp:positionH relativeFrom="column">
              <wp:posOffset>1738630</wp:posOffset>
            </wp:positionH>
            <wp:positionV relativeFrom="paragraph">
              <wp:posOffset>-139700</wp:posOffset>
            </wp:positionV>
            <wp:extent cx="965200" cy="336550"/>
            <wp:effectExtent l="0" t="0" r="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65200" cy="336550"/>
                    </a:xfrm>
                    <a:prstGeom prst="rect">
                      <a:avLst/>
                    </a:prstGeom>
                    <a:noFill/>
                    <a:ln w="9525">
                      <a:noFill/>
                    </a:ln>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3948430</wp:posOffset>
            </wp:positionH>
            <wp:positionV relativeFrom="paragraph">
              <wp:posOffset>-139700</wp:posOffset>
            </wp:positionV>
            <wp:extent cx="965200" cy="336550"/>
            <wp:effectExtent l="0" t="0" r="0" b="635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965200" cy="336550"/>
                    </a:xfrm>
                    <a:prstGeom prst="rect">
                      <a:avLst/>
                    </a:prstGeom>
                    <a:noFill/>
                    <a:ln w="9525">
                      <a:noFill/>
                    </a:ln>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2022.5.13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北魏楷书简体">
    <w:altName w:val="黑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CD64A0"/>
    <w:rsid w:val="1AD022CA"/>
    <w:rsid w:val="61176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2022-05-15T07:25:33Z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