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重庆阳正环保科技股份有限公司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Q:34.05.00,34.06.00,39.01.00,39.03.01</w:t>
            </w:r>
          </w:p>
          <w:p>
            <w:pPr>
              <w:spacing w:line="240" w:lineRule="exact"/>
              <w:jc w:val="center"/>
              <w:rPr>
                <w:b/>
                <w:color w:val="000000" w:themeColor="text1"/>
                <w:sz w:val="20"/>
                <w:szCs w:val="20"/>
              </w:rPr>
            </w:pPr>
            <w:r>
              <w:rPr>
                <w:b/>
                <w:color w:val="000000" w:themeColor="text1"/>
                <w:sz w:val="20"/>
                <w:szCs w:val="20"/>
              </w:rPr>
              <w:t>E:34.05.00,34.06.00,39.01.00,39.03.01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重庆阳正环保科技股份有限公司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重庆市渝中区经纬大道780号1幢3-7#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重庆市渝中区经纬大道780号1幢3-7#</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周艳茹</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023-67678916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刘扬</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周艳茹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Q：环保设备的研发及销售，环保技术咨询，资质范围内环境污染（废气、废水）的治理</w:t>
            </w:r>
          </w:p>
          <w:p>
            <w:pPr>
              <w:spacing w:line="320" w:lineRule="exact"/>
              <w:rPr>
                <w:rFonts w:ascii="宋体" w:hAnsi="宋体"/>
                <w:b/>
                <w:color w:val="000000" w:themeColor="text1"/>
                <w:sz w:val="20"/>
                <w:szCs w:val="20"/>
              </w:rPr>
            </w:pPr>
            <w:r>
              <w:rPr>
                <w:rFonts w:ascii="宋体" w:hAnsi="宋体"/>
                <w:b/>
                <w:color w:val="000000" w:themeColor="text1"/>
                <w:sz w:val="20"/>
                <w:szCs w:val="20"/>
              </w:rPr>
              <w:t>E：</w:t>
            </w:r>
            <w:bookmarkEnd w:id="17"/>
            <w:r>
              <w:rPr>
                <w:rFonts w:hint="eastAsia" w:ascii="宋体" w:hAnsi="宋体"/>
                <w:b/>
                <w:color w:val="000000" w:themeColor="text1"/>
                <w:sz w:val="20"/>
                <w:szCs w:val="20"/>
              </w:rPr>
              <w:t>环保设备的研发及销售，环保技术咨询，资质范围内环境污染（废气、废水）的治理及其所涉及的</w:t>
            </w:r>
            <w:r>
              <w:rPr>
                <w:rFonts w:hint="eastAsia" w:ascii="宋体" w:hAnsi="宋体"/>
                <w:b/>
                <w:color w:val="000000" w:themeColor="text1"/>
                <w:sz w:val="20"/>
                <w:szCs w:val="20"/>
                <w:lang w:eastAsia="zh-CN"/>
              </w:rPr>
              <w:t>相关环境</w:t>
            </w:r>
            <w:r>
              <w:rPr>
                <w:rFonts w:hint="eastAsia" w:ascii="宋体" w:hAnsi="宋体"/>
                <w:b/>
                <w:color w:val="000000" w:themeColor="text1"/>
                <w:sz w:val="20"/>
                <w:szCs w:val="20"/>
              </w:rPr>
              <w:t xml:space="preserve">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Q：34.05.00;34.06.00;39.01.00;39.03.01</w:t>
            </w:r>
          </w:p>
          <w:p>
            <w:pPr>
              <w:spacing w:line="320" w:lineRule="exact"/>
              <w:rPr>
                <w:rFonts w:ascii="宋体" w:hAnsi="宋体"/>
                <w:b/>
                <w:color w:val="000000" w:themeColor="text1"/>
                <w:sz w:val="20"/>
                <w:szCs w:val="20"/>
              </w:rPr>
            </w:pPr>
            <w:r>
              <w:rPr>
                <w:rFonts w:ascii="宋体" w:hAnsi="宋体"/>
                <w:b/>
                <w:color w:val="000000" w:themeColor="text1"/>
                <w:sz w:val="20"/>
                <w:szCs w:val="20"/>
              </w:rPr>
              <w:t>E：34.05.00;34.06.00;39.01.00;39.03.01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工程部、研发中心</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不合格品控制；纠正和预防措施控制；策划管理；过程监控管理；产品验收管理；监视和测量设备管理；生产过程管理；设备设施管理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采购管理；合同管理；供方管理；</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56"/>
        <w:gridCol w:w="728"/>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45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28" w:type="dxa"/>
          </w:tcPr>
          <w:p>
            <w:pPr>
              <w:rPr>
                <w:b/>
                <w:color w:val="000000" w:themeColor="text1"/>
                <w:sz w:val="20"/>
                <w:szCs w:val="20"/>
              </w:rPr>
            </w:pPr>
            <w:r>
              <w:rPr>
                <w:rFonts w:hint="eastAsia"/>
                <w:b/>
                <w:color w:val="000000" w:themeColor="text1"/>
                <w:sz w:val="20"/>
                <w:szCs w:val="20"/>
              </w:rPr>
              <w:t>规格</w:t>
            </w:r>
          </w:p>
        </w:tc>
        <w:tc>
          <w:tcPr>
            <w:tcW w:w="6490" w:type="dxa"/>
          </w:tcPr>
          <w:p>
            <w:pPr>
              <w:rPr>
                <w:b/>
                <w:sz w:val="20"/>
                <w:szCs w:val="20"/>
              </w:rPr>
            </w:pPr>
            <w:r>
              <w:rPr>
                <w:rFonts w:hint="eastAsia"/>
                <w:b/>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61" w:type="dxa"/>
          </w:tcPr>
          <w:p>
            <w:pPr>
              <w:spacing w:line="400" w:lineRule="exact"/>
              <w:rPr>
                <w:b/>
                <w:color w:val="FF0000"/>
                <w:sz w:val="18"/>
                <w:szCs w:val="18"/>
              </w:rPr>
            </w:pPr>
            <w:r>
              <w:rPr>
                <w:rFonts w:hint="eastAsia" w:ascii="宋体" w:hAnsi="宋体"/>
                <w:sz w:val="18"/>
                <w:szCs w:val="18"/>
              </w:rPr>
              <w:t>环保设备的研发及销售，环保技术咨询，资质范围内环境污染（废气、废水）的治理</w:t>
            </w:r>
          </w:p>
        </w:tc>
        <w:tc>
          <w:tcPr>
            <w:tcW w:w="1456" w:type="dxa"/>
          </w:tcPr>
          <w:p>
            <w:pPr>
              <w:rPr>
                <w:b/>
                <w:sz w:val="20"/>
                <w:szCs w:val="20"/>
              </w:rPr>
            </w:pPr>
            <w:r>
              <w:rPr>
                <w:rFonts w:hint="eastAsia"/>
                <w:b/>
                <w:sz w:val="20"/>
                <w:szCs w:val="20"/>
              </w:rPr>
              <w:t>产品/服务</w:t>
            </w:r>
          </w:p>
        </w:tc>
        <w:tc>
          <w:tcPr>
            <w:tcW w:w="728" w:type="dxa"/>
          </w:tcPr>
          <w:p>
            <w:pPr>
              <w:rPr>
                <w:b/>
                <w:color w:val="000000" w:themeColor="text1"/>
                <w:sz w:val="20"/>
                <w:szCs w:val="20"/>
              </w:rPr>
            </w:pPr>
            <w:r>
              <w:rPr>
                <w:rFonts w:hint="eastAsia"/>
                <w:b/>
                <w:color w:val="000000" w:themeColor="text1"/>
                <w:sz w:val="20"/>
                <w:szCs w:val="20"/>
              </w:rPr>
              <w:t>/</w:t>
            </w:r>
          </w:p>
        </w:tc>
        <w:tc>
          <w:tcPr>
            <w:tcW w:w="6490" w:type="dxa"/>
          </w:tcPr>
          <w:p>
            <w:pPr>
              <w:pStyle w:val="2"/>
              <w:tabs>
                <w:tab w:val="left" w:pos="3780"/>
              </w:tabs>
              <w:spacing w:line="440" w:lineRule="exact"/>
              <w:ind w:firstLine="0"/>
              <w:jc w:val="left"/>
              <w:rPr>
                <w:b/>
                <w:sz w:val="18"/>
                <w:szCs w:val="18"/>
              </w:rPr>
            </w:pPr>
            <w:r>
              <w:rPr>
                <w:rFonts w:hint="eastAsia"/>
                <w:sz w:val="18"/>
                <w:szCs w:val="18"/>
              </w:rPr>
              <w:t>HJ 2000-2010大气污染治理工程技术导则、HJ 2026-2013 吸附法工业有机废气治理工程技术规范、GB50017 2003钢结构设计规范、GB18466-2005医疗机构水污染物排放标准、</w:t>
            </w:r>
            <w:r>
              <w:rPr>
                <w:rFonts w:hint="eastAsia" w:ascii="宋体" w:hAnsi="宋体" w:cs="宋体"/>
                <w:sz w:val="18"/>
                <w:szCs w:val="18"/>
              </w:rPr>
              <w:t>JB/T5917-91、</w:t>
            </w:r>
            <w:r>
              <w:rPr>
                <w:rFonts w:hint="eastAsia" w:ascii="宋体" w:hAnsi="宋体"/>
                <w:sz w:val="18"/>
                <w:szCs w:val="18"/>
              </w:rPr>
              <w:t>恶臭污染物排放标准GB14554-1993，污水综合排放标准》（GB8978-1996）</w:t>
            </w:r>
            <w:r>
              <w:rPr>
                <w:rFonts w:hint="eastAsia" w:ascii="宋体" w:hAnsi="宋体" w:cs="宋体"/>
                <w:sz w:val="18"/>
                <w:szCs w:val="18"/>
              </w:rPr>
              <w:t>等标准和客户要求及协议</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12</w:t>
      </w:r>
      <w:r>
        <w:rPr>
          <w:rFonts w:hint="eastAsia"/>
          <w:b/>
          <w:color w:val="000000" w:themeColor="text1"/>
          <w:spacing w:val="-10"/>
          <w:szCs w:val="21"/>
        </w:rPr>
        <w:t>月</w:t>
      </w:r>
      <w:r>
        <w:rPr>
          <w:rFonts w:hint="eastAsia"/>
          <w:b/>
          <w:color w:val="000000" w:themeColor="text1"/>
          <w:spacing w:val="-10"/>
          <w:szCs w:val="21"/>
          <w:u w:val="single"/>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组织对内外部因素、相关方需求和期望进行了充分的识别，策划和实施有效。组织确定了体系的边界，基本适用。管理体系条款全适用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3"/>
              <w:rPr>
                <w:b/>
                <w:color w:val="000000" w:themeColor="text1"/>
              </w:rPr>
            </w:pPr>
            <w:r>
              <w:rPr>
                <w:rFonts w:hint="eastAsia"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hAnsi="宋体" w:cs="宋体"/>
                <w:szCs w:val="21"/>
              </w:rPr>
              <w:t>管理方针：</w:t>
            </w:r>
            <w:r>
              <w:rPr>
                <w:rFonts w:hint="eastAsia" w:hAnsi="宋体" w:cs="宋体"/>
                <w:color w:val="000000"/>
                <w:szCs w:val="21"/>
              </w:rPr>
              <w:t>科学管理、规范运作、质量第一、顾客满意、预防为主、安全健康、遵纪守法、持续改进。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630" w:firstLineChars="300"/>
              <w:rPr>
                <w:rFonts w:ascii="宋体" w:hAnsi="宋体"/>
                <w:color w:val="000000" w:themeColor="text1"/>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其中关键过程有：设计和服务过程。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 xml:space="preserve">需要确认过程：无。 </w:t>
            </w:r>
          </w:p>
          <w:p>
            <w:pPr>
              <w:spacing w:line="360" w:lineRule="auto"/>
              <w:rPr>
                <w:rFonts w:ascii="宋体" w:hAnsi="宋体"/>
                <w:b/>
                <w:color w:val="000000" w:themeColor="text1"/>
                <w:szCs w:val="21"/>
              </w:rPr>
            </w:pPr>
            <w:r>
              <w:rPr>
                <w:rFonts w:ascii="宋体" w:hAnsi="宋体"/>
                <w:b/>
                <w:color w:val="000000" w:themeColor="text1"/>
                <w:sz w:val="20"/>
                <w:szCs w:val="20"/>
              </w:rPr>
              <w:pict>
                <v:shape id="_x0000_s1029" o:spid="_x0000_s1029" o:spt="32" type="#_x0000_t32" style="position:absolute;left:0pt;margin-left:55.15pt;margin-top:21.2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无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tabs>
                <w:tab w:val="left" w:pos="540"/>
              </w:tabs>
              <w:spacing w:line="300" w:lineRule="exact"/>
              <w:ind w:firstLine="0" w:firstLineChars="0"/>
              <w:rPr>
                <w:rFonts w:ascii="宋体" w:hAnsi="宋体"/>
                <w:b/>
                <w:color w:val="000000" w:themeColor="text1"/>
                <w:szCs w:val="21"/>
                <w:u w:val="single"/>
              </w:rPr>
            </w:pPr>
            <w:r>
              <w:rPr>
                <w:rFonts w:hint="eastAsia" w:ascii="宋体" w:hAnsi="宋体"/>
                <w:b/>
                <w:color w:val="000000" w:themeColor="text1"/>
                <w:szCs w:val="21"/>
              </w:rPr>
              <w:t>（1）获取法律法规项，■法律法规获取充分，□法律法规获取有遗漏，缺少</w:t>
            </w:r>
          </w:p>
          <w:p>
            <w:pPr>
              <w:pStyle w:val="12"/>
              <w:tabs>
                <w:tab w:val="left" w:pos="540"/>
              </w:tabs>
              <w:spacing w:line="300" w:lineRule="exact"/>
              <w:ind w:firstLine="0" w:firstLineChars="0"/>
              <w:rPr>
                <w:rFonts w:ascii="宋体" w:hAnsi="宋体"/>
                <w:b/>
                <w:color w:val="000000" w:themeColor="text1"/>
                <w:szCs w:val="21"/>
              </w:rPr>
            </w:pPr>
            <w:r>
              <w:rPr>
                <w:rFonts w:hint="eastAsia" w:ascii="宋体" w:hAnsi="宋体"/>
                <w:b/>
                <w:color w:val="000000" w:themeColor="text1"/>
                <w:szCs w:val="21"/>
              </w:rPr>
              <w:t>（2）结合公司的■产品/服务■环境因素□危险源，■确定 □未确定法律法规要求的具体条款，</w:t>
            </w:r>
          </w:p>
          <w:p>
            <w:pPr>
              <w:pStyle w:val="12"/>
              <w:tabs>
                <w:tab w:val="left" w:pos="540"/>
              </w:tabs>
              <w:spacing w:line="300" w:lineRule="exact"/>
              <w:ind w:firstLine="0" w:firstLineChars="0"/>
              <w:rPr>
                <w:rFonts w:ascii="宋体" w:hAnsi="宋体"/>
                <w:b/>
                <w:color w:val="000000" w:themeColor="text1"/>
                <w:szCs w:val="21"/>
              </w:rPr>
            </w:pPr>
            <w:r>
              <w:rPr>
                <w:rFonts w:hint="eastAsia" w:ascii="宋体" w:hAnsi="宋体"/>
                <w:b/>
                <w:color w:val="000000" w:themeColor="text1"/>
                <w:szCs w:val="21"/>
              </w:rPr>
              <w:t>（3）法律法规的宣传方式：培训、会议、张贴。</w:t>
            </w:r>
          </w:p>
          <w:p>
            <w:pPr>
              <w:pStyle w:val="12"/>
              <w:tabs>
                <w:tab w:val="left" w:pos="540"/>
              </w:tabs>
              <w:spacing w:line="300" w:lineRule="exact"/>
              <w:ind w:firstLine="0" w:firstLineChars="0"/>
              <w:rPr>
                <w:b/>
                <w:color w:val="000000" w:themeColor="text1"/>
                <w:sz w:val="14"/>
                <w:szCs w:val="14"/>
              </w:rPr>
            </w:pPr>
            <w:r>
              <w:rPr>
                <w:rFonts w:hint="eastAsia" w:ascii="宋体" w:hAnsi="宋体"/>
                <w:b/>
                <w:color w:val="000000" w:themeColor="text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76" w:lineRule="auto"/>
              <w:rPr>
                <w:rFonts w:ascii="宋体" w:hAnsi="宋体" w:cs="宋体"/>
                <w:color w:val="FF0000"/>
                <w:szCs w:val="21"/>
              </w:rPr>
            </w:pPr>
            <w:r>
              <w:rPr>
                <w:rFonts w:hint="eastAsia" w:ascii="宋体" w:hAnsi="宋体" w:cs="宋体"/>
                <w:color w:val="000000"/>
                <w:kern w:val="0"/>
                <w:szCs w:val="21"/>
              </w:rPr>
              <w:t>质量、环境目标： a) 环境污染治理合格率：</w:t>
            </w:r>
            <w:r>
              <w:rPr>
                <w:rFonts w:ascii="宋体" w:hAnsi="宋体" w:cs="宋体"/>
                <w:color w:val="000000"/>
                <w:kern w:val="0"/>
                <w:szCs w:val="21"/>
              </w:rPr>
              <w:t xml:space="preserve">100% </w:t>
            </w:r>
            <w:r>
              <w:rPr>
                <w:rFonts w:hint="eastAsia" w:ascii="宋体" w:hAnsi="宋体" w:cs="宋体"/>
                <w:color w:val="000000"/>
                <w:kern w:val="0"/>
                <w:szCs w:val="21"/>
              </w:rPr>
              <w:t>；b) 合同履约率：</w:t>
            </w:r>
            <w:r>
              <w:rPr>
                <w:rFonts w:ascii="宋体" w:hAnsi="宋体" w:cs="宋体"/>
                <w:color w:val="000000"/>
                <w:kern w:val="0"/>
                <w:szCs w:val="21"/>
              </w:rPr>
              <w:t>100%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c) 客户满意率达：</w:t>
            </w:r>
            <w:r>
              <w:rPr>
                <w:rFonts w:ascii="宋体" w:hAnsi="宋体" w:cs="宋体"/>
                <w:color w:val="000000"/>
                <w:kern w:val="0"/>
                <w:szCs w:val="21"/>
              </w:rPr>
              <w:t>95</w:t>
            </w:r>
            <w:r>
              <w:rPr>
                <w:rFonts w:hint="eastAsia" w:ascii="宋体" w:hAnsi="宋体" w:cs="宋体"/>
                <w:color w:val="000000"/>
                <w:kern w:val="0"/>
                <w:szCs w:val="21"/>
              </w:rPr>
              <w:t>分以上</w:t>
            </w:r>
            <w:r>
              <w:rPr>
                <w:rFonts w:ascii="宋体" w:hAnsi="宋体" w:cs="宋体"/>
                <w:color w:val="000000"/>
                <w:kern w:val="0"/>
                <w:szCs w:val="21"/>
              </w:rPr>
              <w:t xml:space="preserve"> </w:t>
            </w:r>
            <w:r>
              <w:rPr>
                <w:rFonts w:hint="eastAsia" w:ascii="宋体" w:hAnsi="宋体" w:cs="宋体"/>
                <w:color w:val="000000"/>
                <w:kern w:val="0"/>
                <w:szCs w:val="21"/>
              </w:rPr>
              <w:t>；d</w:t>
            </w:r>
            <w:r>
              <w:rPr>
                <w:rFonts w:ascii="宋体" w:hAnsi="宋体" w:cs="宋体"/>
                <w:color w:val="000000"/>
                <w:kern w:val="0"/>
                <w:szCs w:val="21"/>
              </w:rPr>
              <w:t>)</w:t>
            </w:r>
            <w:r>
              <w:rPr>
                <w:rFonts w:hint="eastAsia" w:ascii="宋体" w:hAnsi="宋体" w:cs="宋体"/>
                <w:color w:val="000000"/>
                <w:kern w:val="0"/>
                <w:szCs w:val="21"/>
              </w:rPr>
              <w:t>重大火灾事故为</w:t>
            </w:r>
            <w:r>
              <w:rPr>
                <w:rFonts w:ascii="宋体" w:hAnsi="宋体" w:cs="宋体"/>
                <w:color w:val="000000"/>
                <w:kern w:val="0"/>
                <w:szCs w:val="21"/>
              </w:rPr>
              <w:t>0</w:t>
            </w:r>
            <w:r>
              <w:rPr>
                <w:rFonts w:hint="eastAsia" w:ascii="宋体" w:hAnsi="宋体" w:cs="宋体"/>
                <w:color w:val="000000"/>
                <w:kern w:val="0"/>
                <w:szCs w:val="21"/>
              </w:rPr>
              <w:t>；e)固体废弃物分类处置率100%；f</w:t>
            </w:r>
            <w:r>
              <w:rPr>
                <w:rFonts w:ascii="宋体" w:hAnsi="宋体" w:cs="宋体"/>
                <w:color w:val="000000"/>
                <w:kern w:val="0"/>
                <w:szCs w:val="21"/>
              </w:rPr>
              <w:t>)</w:t>
            </w:r>
            <w:r>
              <w:rPr>
                <w:rFonts w:hint="eastAsia" w:ascii="宋体" w:hAnsi="宋体" w:cs="宋体"/>
                <w:color w:val="000000"/>
                <w:kern w:val="0"/>
                <w:szCs w:val="21"/>
              </w:rPr>
              <w:t>环境污染事故为</w:t>
            </w:r>
            <w:r>
              <w:rPr>
                <w:rFonts w:ascii="宋体" w:hAnsi="宋体" w:cs="宋体"/>
                <w:color w:val="000000"/>
                <w:kern w:val="0"/>
                <w:szCs w:val="21"/>
              </w:rPr>
              <w:t>0</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630" w:firstLineChars="3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8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ind w:firstLine="420" w:firstLineChars="200"/>
              <w:rPr>
                <w:rFonts w:ascii="宋体" w:hAnsi="宋体"/>
                <w:b/>
                <w:sz w:val="20"/>
                <w:szCs w:val="20"/>
              </w:rPr>
            </w:pPr>
            <w:r>
              <w:rPr>
                <w:rFonts w:hint="eastAsia" w:ascii="宋体" w:hAnsi="宋体"/>
                <w:szCs w:val="21"/>
              </w:rPr>
              <w:t>办公场所面积200平方左右，</w:t>
            </w:r>
            <w:r>
              <w:rPr>
                <w:rFonts w:hint="eastAsia" w:ascii="宋体" w:hAnsi="宋体" w:cs="宋体"/>
                <w:szCs w:val="21"/>
              </w:rPr>
              <w:t>主</w:t>
            </w:r>
            <w:r>
              <w:rPr>
                <w:rFonts w:hint="eastAsia" w:ascii="宋体" w:hAnsi="宋体"/>
                <w:szCs w:val="21"/>
              </w:rPr>
              <w:t>要设备为办公设备、和监视设备，如四合一气体检测仪</w:t>
            </w:r>
            <w:r>
              <w:rPr>
                <w:rFonts w:ascii="宋体" w:hAnsi="宋体"/>
                <w:szCs w:val="21"/>
              </w:rPr>
              <w:t>、</w:t>
            </w:r>
            <w:r>
              <w:rPr>
                <w:rFonts w:hint="eastAsia" w:ascii="宋体" w:hAnsi="宋体"/>
                <w:szCs w:val="21"/>
              </w:rPr>
              <w:t>快速检测仪、消解仪、便携式DO计</w:t>
            </w:r>
            <w:r>
              <w:rPr>
                <w:rFonts w:ascii="宋体" w:hAnsi="宋体"/>
                <w:szCs w:val="21"/>
              </w:rPr>
              <w:t>等</w:t>
            </w:r>
            <w:r>
              <w:rPr>
                <w:rFonts w:hint="eastAsia" w:ascii="宋体" w:hAnsi="宋体"/>
                <w:szCs w:val="21"/>
              </w:rPr>
              <w:t>，可以满足环保设备的研发及销售，环保技术咨询，资质范围内环境污染（废气、废水）的治理</w:t>
            </w:r>
            <w:r>
              <w:rPr>
                <w:rFonts w:hint="eastAsia"/>
                <w:szCs w:val="22"/>
              </w:rPr>
              <w:t>需要</w:t>
            </w:r>
            <w:r>
              <w:rPr>
                <w:rFonts w:hint="eastAsia" w:ascii="宋体" w:hAnsi="宋体" w:cs="宋体"/>
                <w:szCs w:val="21"/>
              </w:rPr>
              <w:t>。对设备按要求维护保养，并实施。特种设备：无。公司未建立信息管理系统用于生产和服务。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cs="宋体"/>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监视和测量资源</w:t>
            </w:r>
          </w:p>
          <w:p>
            <w:pPr>
              <w:spacing w:line="400" w:lineRule="exact"/>
              <w:rPr>
                <w:rFonts w:ascii="宋体" w:hAnsi="宋体"/>
                <w:b/>
                <w:sz w:val="20"/>
                <w:szCs w:val="20"/>
              </w:rPr>
            </w:pPr>
            <w:r>
              <w:rPr>
                <w:rFonts w:hint="eastAsia" w:ascii="宋体" w:hAnsi="宋体" w:cs="宋体"/>
                <w:szCs w:val="21"/>
              </w:rPr>
              <w:t>检验部门均按策划的要求配置了相应的检测设备，其中包</w:t>
            </w:r>
            <w:r>
              <w:rPr>
                <w:rFonts w:hint="eastAsia" w:ascii="宋体" w:hAnsi="宋体"/>
                <w:szCs w:val="21"/>
              </w:rPr>
              <w:t>卷尺、万用表</w:t>
            </w:r>
            <w:r>
              <w:rPr>
                <w:rFonts w:hint="eastAsia"/>
                <w:szCs w:val="21"/>
              </w:rPr>
              <w:t>、</w:t>
            </w:r>
            <w:r>
              <w:rPr>
                <w:rFonts w:hint="eastAsia" w:ascii="宋体" w:hAnsi="宋体"/>
                <w:szCs w:val="21"/>
              </w:rPr>
              <w:t>合一气体检测仪</w:t>
            </w:r>
            <w:r>
              <w:rPr>
                <w:rFonts w:ascii="宋体" w:hAnsi="宋体"/>
                <w:szCs w:val="21"/>
              </w:rPr>
              <w:t>、</w:t>
            </w:r>
            <w:r>
              <w:rPr>
                <w:rFonts w:hint="eastAsia" w:ascii="宋体" w:hAnsi="宋体"/>
                <w:szCs w:val="21"/>
              </w:rPr>
              <w:t>快速检测仪、消解仪、便携式DO计等，其中合一气体检测仪</w:t>
            </w:r>
            <w:r>
              <w:rPr>
                <w:rFonts w:ascii="宋体" w:hAnsi="宋体"/>
                <w:szCs w:val="21"/>
              </w:rPr>
              <w:t>、</w:t>
            </w:r>
            <w:r>
              <w:rPr>
                <w:rFonts w:hint="eastAsia" w:ascii="宋体" w:hAnsi="宋体"/>
                <w:szCs w:val="21"/>
              </w:rPr>
              <w:t>快速检测仪、消解仪、便携式DO计只做过程监控用，最终处理效果以第三方检测报告为准，未校准，坏了直接更换</w:t>
            </w:r>
            <w:r>
              <w:rPr>
                <w:rFonts w:hint="eastAsia" w:ascii="宋体" w:hAnsi="宋体" w:cs="宋体"/>
                <w:szCs w:val="21"/>
              </w:rPr>
              <w:t>。查规定，对所有的检测设备进行了规定的检验及校准。采取委外方式进行，部分不能提供有校准或检定证书。已开不符合整改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检验控制规定，规定了公司各管理层次和品质检测部门在各阶段对服务质量实施检查与验收的管理要求，报告的验收工作均在交付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5 .QMS</w:t>
            </w:r>
            <w:r>
              <w:rPr>
                <w:rFonts w:hint="eastAsia"/>
                <w:b/>
                <w:sz w:val="20"/>
                <w:szCs w:val="20"/>
              </w:rPr>
              <w:t>国家/地方技术监督部门监测（检测、委托检测、定期监测、型式试验等）、抽查结果</w:t>
            </w:r>
          </w:p>
          <w:p>
            <w:pPr>
              <w:spacing w:line="300" w:lineRule="exact"/>
              <w:ind w:firstLine="197" w:firstLineChars="98"/>
              <w:rPr>
                <w:b/>
                <w:sz w:val="20"/>
                <w:szCs w:val="20"/>
              </w:rPr>
            </w:pPr>
            <w:r>
              <w:rPr>
                <w:rFonts w:hint="eastAsia"/>
                <w:b/>
                <w:sz w:val="20"/>
                <w:szCs w:val="20"/>
              </w:rPr>
              <w:t>无</w:t>
            </w:r>
          </w:p>
          <w:p>
            <w:pPr>
              <w:spacing w:line="300" w:lineRule="exact"/>
              <w:ind w:firstLine="197" w:firstLineChars="98"/>
              <w:rPr>
                <w:b/>
                <w:color w:val="000000" w:themeColor="text1"/>
                <w:sz w:val="20"/>
                <w:szCs w:val="20"/>
              </w:rPr>
            </w:pPr>
            <w:r>
              <w:rPr>
                <w:rFonts w:hint="eastAsia"/>
                <w:b/>
                <w:sz w:val="20"/>
                <w:szCs w:val="20"/>
              </w:rPr>
              <w:t>（附相关证据）：</w:t>
            </w:r>
            <w:r>
              <w:rPr>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sz w:val="20"/>
                <w:szCs w:val="20"/>
              </w:rPr>
            </w:pPr>
            <w:r>
              <w:rPr>
                <w:rFonts w:hint="eastAsia"/>
                <w:b/>
                <w:color w:val="000000" w:themeColor="text1"/>
                <w:sz w:val="20"/>
                <w:szCs w:val="20"/>
              </w:rPr>
              <w:t>（EMS对重要环境因素</w:t>
            </w:r>
            <w:r>
              <w:rPr>
                <w:rFonts w:hint="eastAsia"/>
                <w:b/>
                <w:sz w:val="20"/>
                <w:szCs w:val="20"/>
              </w:rPr>
              <w:t>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szCs w:val="21"/>
              </w:rPr>
              <w:t>潜在火灾，固废排放，噪声排放</w:t>
            </w:r>
            <w:r>
              <w:rPr>
                <w:rFonts w:hint="eastAsia" w:asciiTheme="minorEastAsia" w:hAnsiTheme="minorEastAsia" w:eastAsiaTheme="minorEastAsia"/>
                <w:bCs/>
                <w:iCs/>
              </w:rPr>
              <w:t>，需要应对的风险和机遇相关的过程为设计和服务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szCs w:val="21"/>
              </w:rPr>
              <w:t>固废排放、噪声排放控制方案，</w:t>
            </w:r>
            <w:r>
              <w:rPr>
                <w:rFonts w:hint="eastAsia" w:asciiTheme="minorEastAsia" w:hAnsiTheme="minorEastAsia" w:eastAsiaTheme="minorEastAsia"/>
                <w:bCs/>
                <w:iCs/>
              </w:rPr>
              <w:t>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525"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8月2019年10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11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szCs w:val="21"/>
              </w:rPr>
              <w:t>建立有《内部审核控制程序》，规定了内审频次一年一次，内审时间：2019年11月15日-16日，拟定了审核实施表，明确了内审范围，内审人员经培训合格上岗，能力满足要求，未出现审核本部门情况，内审不符合项2项，</w:t>
            </w:r>
            <w:r>
              <w:rPr>
                <w:rFonts w:hint="eastAsia"/>
                <w:szCs w:val="21"/>
              </w:rPr>
              <w:t>涉及行政部Q/E4.2条款没有“未能提供 相关方的需求和期望的相关信息”和销售部Q9.1.2条款“未提供对满意度分析评价的证据”</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2019年11月26日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398" w:firstLineChars="198"/>
              <w:rPr>
                <w:sz w:val="20"/>
                <w:szCs w:val="20"/>
              </w:rPr>
            </w:pPr>
            <w:r>
              <w:rPr>
                <w:rFonts w:hint="eastAsia"/>
                <w:b/>
                <w:bCs/>
                <w:sz w:val="20"/>
                <w:szCs w:val="20"/>
              </w:rPr>
              <w:t>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color w:val="000000" w:themeColor="text1"/>
                <w:sz w:val="20"/>
                <w:szCs w:val="20"/>
              </w:rPr>
              <w:t>9</w:t>
            </w:r>
            <w:r>
              <w:rPr>
                <w:rFonts w:hint="eastAsia"/>
                <w:b/>
                <w:sz w:val="20"/>
                <w:szCs w:val="20"/>
              </w:rPr>
              <w:t>.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rFonts w:hint="eastAsia"/>
                <w:b/>
                <w:sz w:val="20"/>
                <w:szCs w:val="20"/>
              </w:rPr>
              <w:t>3. 一阶段提出问题的整改情况?</w:t>
            </w:r>
          </w:p>
          <w:p>
            <w:pPr>
              <w:spacing w:line="240" w:lineRule="exact"/>
              <w:rPr>
                <w:b/>
                <w:spacing w:val="-2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color w:val="000000" w:themeColor="text1"/>
        </w:rPr>
        <w:t>1.</w:t>
      </w:r>
      <w:r>
        <w:rPr>
          <w:rFonts w:hint="eastAsia"/>
          <w:b/>
        </w:rPr>
        <w:t>本次审核共开具不符合项报告 1项；其中</w:t>
      </w:r>
      <w:r>
        <w:rPr>
          <w:b/>
        </w:rPr>
        <w:pict>
          <v:line id="直接连接符 1" o:spid="_x0000_s1030" o:spt="20" style="position:absolute;left:0pt;margin-left:210pt;margin-top:16.2pt;height:0pt;width:0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 0项，一般不符合 1项，观察项0项，分布在部门工程部条款Q7.1.5，分布见附件。（Q/J/E/S分开填写）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364" w:leftChars="-472" w:hanging="1355" w:hangingChars="519"/>
        <w:rPr>
          <w:b/>
          <w:color w:val="000000" w:themeColor="text1"/>
          <w:sz w:val="26"/>
          <w:szCs w:val="26"/>
        </w:rPr>
      </w:pP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color w:val="000000"/>
                <w:szCs w:val="21"/>
              </w:rPr>
            </w:pPr>
            <w:r>
              <w:rPr>
                <w:rFonts w:hint="eastAsia" w:ascii="宋体" w:hAnsi="宋体"/>
                <w:szCs w:val="21"/>
              </w:rPr>
              <w:t>QMS：环保设备的研发及销售，环保技术咨询，资质范围内环境污染（废气、废水）的治理</w:t>
            </w:r>
          </w:p>
          <w:p>
            <w:pPr>
              <w:rPr>
                <w:b/>
                <w:color w:val="000000" w:themeColor="text1"/>
                <w:spacing w:val="-10"/>
                <w:sz w:val="22"/>
                <w:szCs w:val="22"/>
              </w:rPr>
            </w:pPr>
            <w:r>
              <w:rPr>
                <w:rFonts w:hint="eastAsia" w:ascii="宋体" w:hAnsi="宋体"/>
                <w:szCs w:val="21"/>
              </w:rPr>
              <w:t>EMS：环保设备的研发及销售，环保技术咨询，资质范围内环境污染（废气、废水）的治理及其所涉及的</w:t>
            </w:r>
            <w:r>
              <w:rPr>
                <w:rFonts w:hint="eastAsia" w:ascii="宋体" w:hAnsi="宋体"/>
                <w:szCs w:val="21"/>
                <w:lang w:eastAsia="zh-CN"/>
              </w:rPr>
              <w:t>相关环境</w:t>
            </w:r>
            <w:r>
              <w:rPr>
                <w:rFonts w:hint="eastAsia" w:ascii="宋体" w:hAnsi="宋体"/>
                <w:szCs w:val="21"/>
              </w:rPr>
              <w:t xml:space="preserve">管理活动 </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b/>
          <w:color w:val="000000" w:themeColor="text1"/>
          <w:sz w:val="26"/>
          <w:szCs w:val="26"/>
        </w:rPr>
      </w:pPr>
    </w:p>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asciiTheme="minorEastAsia" w:hAnsiTheme="minorEastAsia" w:eastAsiaTheme="minorEastAsia"/>
          <w:b/>
          <w:color w:val="000000" w:themeColor="text1"/>
        </w:rPr>
      </w:pPr>
      <w:r>
        <w:rPr>
          <w:rFonts w:hint="eastAsia"/>
          <w:b/>
          <w:color w:val="000000" w:themeColor="text1"/>
        </w:rPr>
        <w:t>日期    2019</w:t>
      </w:r>
      <w:r>
        <w:rPr>
          <w:rFonts w:hint="eastAsia" w:asciiTheme="minorEastAsia" w:hAnsiTheme="minorEastAsia" w:eastAsiaTheme="minorEastAsia"/>
          <w:b/>
          <w:color w:val="000000" w:themeColor="text1"/>
        </w:rPr>
        <w:t>年12月23日</w:t>
      </w:r>
    </w:p>
    <w:p>
      <w:pPr>
        <w:snapToGrid w:val="0"/>
        <w:spacing w:line="360" w:lineRule="auto"/>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sz w:val="26"/>
          <w:szCs w:val="26"/>
        </w:rPr>
      </w:pPr>
      <w:r>
        <w:rPr>
          <w:rFonts w:hint="eastAsia"/>
          <w:b/>
          <w:bCs/>
          <w:color w:val="000000" w:themeColor="text1"/>
          <w:szCs w:val="21"/>
        </w:rPr>
        <w:t>1</w:t>
      </w:r>
      <w:r>
        <w:rPr>
          <w:rFonts w:hint="eastAsia"/>
          <w:b/>
          <w:bCs/>
          <w:color w:val="FF0000"/>
          <w:szCs w:val="21"/>
        </w:rPr>
        <w:t xml:space="preserve">.  </w:t>
      </w:r>
      <w:r>
        <w:rPr>
          <w:rFonts w:hint="eastAsia"/>
          <w:b/>
          <w:bCs/>
          <w:szCs w:val="21"/>
        </w:rPr>
        <w:t>审核中发现的</w:t>
      </w:r>
      <w:r>
        <w:rPr>
          <w:rFonts w:hint="eastAsia"/>
          <w:b/>
          <w:color w:val="000000" w:themeColor="text1"/>
          <w:spacing w:val="-10"/>
          <w:szCs w:val="21"/>
        </w:rPr>
        <w:t>□</w:t>
      </w:r>
      <w:r>
        <w:rPr>
          <w:rFonts w:hint="eastAsia"/>
          <w:b/>
          <w:szCs w:val="21"/>
        </w:rPr>
        <w:t>QMS(   )个一般不符合，(  )个严重不符合，</w:t>
      </w:r>
      <w:r>
        <w:rPr>
          <w:rFonts w:hint="eastAsia"/>
          <w:b/>
          <w:color w:val="000000" w:themeColor="text1"/>
          <w:spacing w:val="-10"/>
          <w:szCs w:val="21"/>
        </w:rPr>
        <w:t>□</w:t>
      </w:r>
      <w:r>
        <w:rPr>
          <w:rFonts w:hint="eastAsia"/>
          <w:b/>
          <w:szCs w:val="21"/>
        </w:rPr>
        <w:t>验证合格</w:t>
      </w:r>
      <w:r>
        <w:rPr>
          <w:rFonts w:hint="eastAsia"/>
          <w:b/>
          <w:spacing w:val="-10"/>
          <w:szCs w:val="21"/>
        </w:rPr>
        <w:t>□</w:t>
      </w:r>
      <w:r>
        <w:rPr>
          <w:rFonts w:hint="eastAsia"/>
          <w:b/>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2"/>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2"/>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numPr>
          <w:ilvl w:val="0"/>
          <w:numId w:val="3"/>
        </w:numPr>
        <w:snapToGrid w:val="0"/>
        <w:spacing w:line="360" w:lineRule="auto"/>
        <w:ind w:left="202" w:leftChars="-405" w:hanging="1052" w:hangingChars="403"/>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rPr>
      </w:pPr>
    </w:p>
    <w:p>
      <w:pPr>
        <w:snapToGrid w:val="0"/>
        <w:spacing w:line="360" w:lineRule="auto"/>
        <w:ind w:left="-1697" w:leftChars="-808" w:firstLine="783" w:firstLineChars="300"/>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p>
      <w:pPr>
        <w:ind w:left="-1" w:leftChars="-337" w:hanging="707" w:hangingChars="271"/>
        <w:rPr>
          <w:rFonts w:ascii="宋体" w:hAnsi="宋体"/>
          <w:b/>
          <w:color w:val="000000" w:themeColor="text1"/>
          <w:sz w:val="26"/>
          <w:szCs w:val="26"/>
        </w:rPr>
      </w:pPr>
    </w:p>
    <w:p>
      <w:pPr>
        <w:rPr>
          <w:rFonts w:ascii="宋体" w:hAnsi="宋体"/>
          <w:b/>
          <w:color w:val="000000" w:themeColor="text1"/>
          <w:sz w:val="26"/>
          <w:szCs w:val="26"/>
        </w:rPr>
      </w:pPr>
    </w:p>
    <w:p>
      <w:pPr>
        <w:ind w:left="-1" w:leftChars="-337" w:hanging="707" w:hangingChars="271"/>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1179F"/>
    <w:multiLevelType w:val="singleLevel"/>
    <w:tmpl w:val="8CF1179F"/>
    <w:lvl w:ilvl="0" w:tentative="0">
      <w:start w:val="17"/>
      <w:numFmt w:val="chineseCounting"/>
      <w:suff w:val="nothing"/>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1C7D"/>
    <w:rsid w:val="000D3511"/>
    <w:rsid w:val="00105665"/>
    <w:rsid w:val="002468DA"/>
    <w:rsid w:val="0037291B"/>
    <w:rsid w:val="0084219F"/>
    <w:rsid w:val="008D0A76"/>
    <w:rsid w:val="009F3CA3"/>
    <w:rsid w:val="00D71C7D"/>
    <w:rsid w:val="2B1A7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uiPriority w:val="0"/>
    <w:pPr>
      <w:spacing w:line="0" w:lineRule="atLeast"/>
      <w:ind w:firstLine="630"/>
    </w:pPr>
    <w:rPr>
      <w:sz w:val="28"/>
      <w:szCs w:val="20"/>
    </w:rPr>
  </w:style>
  <w:style w:type="paragraph" w:styleId="3">
    <w:name w:val="Plain Text"/>
    <w:basedOn w:val="1"/>
    <w:link w:val="18"/>
    <w:qFormat/>
    <w:uiPriority w:val="99"/>
    <w:rPr>
      <w:rFonts w:ascii="宋体" w:hAnsi="Courier New"/>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99"/>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纯文本 Char"/>
    <w:basedOn w:val="10"/>
    <w:link w:val="3"/>
    <w:uiPriority w:val="99"/>
    <w:rPr>
      <w:rFonts w:ascii="宋体" w:hAnsi="Courier New"/>
      <w:kern w:val="2"/>
      <w:sz w:val="21"/>
      <w:szCs w:val="24"/>
    </w:rPr>
  </w:style>
  <w:style w:type="character" w:customStyle="1" w:styleId="19">
    <w:name w:val="正文文本缩进 Char"/>
    <w:basedOn w:val="10"/>
    <w:link w:val="2"/>
    <w:uiPriority w:val="0"/>
    <w:rPr>
      <w:rFonts w:ascii="Times New Roman" w:hAnsi="Times New Roman"/>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1417</Words>
  <Characters>8083</Characters>
  <Lines>67</Lines>
  <Paragraphs>18</Paragraphs>
  <TotalTime>0</TotalTime>
  <ScaleCrop>false</ScaleCrop>
  <LinksUpToDate>false</LinksUpToDate>
  <CharactersWithSpaces>9482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2019-12-23T07:30:20Z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