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998"/>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22" w:type="dxa"/>
            <w:vMerge w:val="restart"/>
            <w:vAlign w:val="center"/>
          </w:tcPr>
          <w:p>
            <w:pPr>
              <w:spacing w:before="120" w:line="36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过程与活动、</w:t>
            </w:r>
          </w:p>
          <w:p>
            <w:pPr>
              <w:spacing w:line="36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抽样计划</w:t>
            </w:r>
          </w:p>
        </w:tc>
        <w:tc>
          <w:tcPr>
            <w:tcW w:w="998" w:type="dxa"/>
            <w:vMerge w:val="restart"/>
            <w:vAlign w:val="center"/>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涉及</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条款</w:t>
            </w:r>
          </w:p>
        </w:tc>
        <w:tc>
          <w:tcPr>
            <w:tcW w:w="10004" w:type="dxa"/>
            <w:vAlign w:val="center"/>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受审核部门：</w:t>
            </w:r>
            <w:r>
              <w:rPr>
                <w:rFonts w:hint="eastAsia" w:ascii="宋体" w:hAnsi="宋体" w:eastAsia="宋体" w:cs="宋体"/>
                <w:b w:val="0"/>
                <w:bCs w:val="0"/>
                <w:sz w:val="24"/>
                <w:szCs w:val="24"/>
                <w:lang w:val="en-US" w:eastAsia="zh-CN"/>
              </w:rPr>
              <w:t>行政</w:t>
            </w:r>
            <w:r>
              <w:rPr>
                <w:rFonts w:hint="eastAsia" w:ascii="宋体" w:hAnsi="宋体" w:eastAsia="宋体" w:cs="宋体"/>
                <w:b w:val="0"/>
                <w:bCs w:val="0"/>
                <w:sz w:val="24"/>
                <w:szCs w:val="24"/>
                <w:lang w:eastAsia="zh-CN"/>
              </w:rPr>
              <w:t>部</w:t>
            </w:r>
            <w:r>
              <w:rPr>
                <w:rFonts w:hint="eastAsia" w:ascii="宋体" w:hAnsi="宋体" w:eastAsia="宋体" w:cs="宋体"/>
                <w:b w:val="0"/>
                <w:bCs w:val="0"/>
                <w:sz w:val="24"/>
                <w:szCs w:val="24"/>
              </w:rPr>
              <w:t xml:space="preserve">   主管领导：李苏燕   陪同人员：魏少丹</w:t>
            </w:r>
          </w:p>
        </w:tc>
        <w:tc>
          <w:tcPr>
            <w:tcW w:w="1585" w:type="dxa"/>
            <w:vMerge w:val="restart"/>
            <w:vAlign w:val="center"/>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22" w:type="dxa"/>
            <w:vMerge w:val="continue"/>
            <w:vAlign w:val="center"/>
          </w:tcPr>
          <w:p>
            <w:pPr>
              <w:spacing w:line="360" w:lineRule="auto"/>
              <w:rPr>
                <w:rFonts w:hint="eastAsia" w:ascii="宋体" w:hAnsi="宋体" w:eastAsia="宋体" w:cs="宋体"/>
                <w:b w:val="0"/>
                <w:bCs w:val="0"/>
                <w:sz w:val="24"/>
                <w:szCs w:val="24"/>
              </w:rPr>
            </w:pPr>
          </w:p>
        </w:tc>
        <w:tc>
          <w:tcPr>
            <w:tcW w:w="998" w:type="dxa"/>
            <w:vMerge w:val="continue"/>
            <w:vAlign w:val="center"/>
          </w:tcPr>
          <w:p>
            <w:pPr>
              <w:spacing w:line="360" w:lineRule="auto"/>
              <w:rPr>
                <w:rFonts w:hint="eastAsia" w:ascii="宋体" w:hAnsi="宋体" w:eastAsia="宋体" w:cs="宋体"/>
                <w:b w:val="0"/>
                <w:bCs w:val="0"/>
                <w:sz w:val="24"/>
                <w:szCs w:val="24"/>
              </w:rPr>
            </w:pPr>
          </w:p>
        </w:tc>
        <w:tc>
          <w:tcPr>
            <w:tcW w:w="10004" w:type="dxa"/>
            <w:vAlign w:val="center"/>
          </w:tcPr>
          <w:p>
            <w:pPr>
              <w:spacing w:before="120"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审核员：</w:t>
            </w:r>
            <w:r>
              <w:rPr>
                <w:rFonts w:hint="eastAsia" w:ascii="宋体" w:hAnsi="宋体" w:eastAsia="宋体" w:cs="宋体"/>
                <w:b w:val="0"/>
                <w:bCs w:val="0"/>
                <w:sz w:val="24"/>
                <w:szCs w:val="24"/>
                <w:lang w:val="en-US" w:eastAsia="zh-CN"/>
              </w:rPr>
              <w:t xml:space="preserve">李俐   </w:t>
            </w:r>
            <w:r>
              <w:rPr>
                <w:rFonts w:hint="eastAsia"/>
                <w:sz w:val="24"/>
                <w:szCs w:val="24"/>
                <w:lang w:val="en-US" w:eastAsia="zh-CN"/>
              </w:rPr>
              <w:t xml:space="preserve"> 陈飞燕</w:t>
            </w:r>
            <w:r>
              <w:rPr>
                <w:rFonts w:hint="eastAsia" w:ascii="宋体" w:hAnsi="宋体" w:eastAsia="宋体" w:cs="宋体"/>
                <w:b w:val="0"/>
                <w:bCs w:val="0"/>
                <w:sz w:val="24"/>
                <w:szCs w:val="24"/>
                <w:lang w:val="en-US" w:eastAsia="zh-CN"/>
              </w:rPr>
              <w:t xml:space="preserve">  </w:t>
            </w:r>
            <w:r>
              <w:rPr>
                <w:rFonts w:hint="eastAsia" w:ascii="宋体" w:hAnsi="宋体" w:cs="宋体"/>
                <w:b w:val="0"/>
                <w:bCs w:val="0"/>
                <w:sz w:val="24"/>
                <w:szCs w:val="24"/>
                <w:lang w:val="en-US" w:eastAsia="zh-CN"/>
              </w:rPr>
              <w:t xml:space="preserve">         </w:t>
            </w:r>
            <w:bookmarkStart w:id="0" w:name="_GoBack"/>
            <w:bookmarkEnd w:id="0"/>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审核时间：202</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年</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月</w:t>
            </w:r>
            <w:r>
              <w:rPr>
                <w:rFonts w:hint="eastAsia" w:ascii="宋体" w:hAnsi="宋体" w:eastAsia="宋体" w:cs="宋体"/>
                <w:b w:val="0"/>
                <w:bCs w:val="0"/>
                <w:sz w:val="24"/>
                <w:szCs w:val="24"/>
                <w:lang w:val="en-US" w:eastAsia="zh-CN"/>
              </w:rPr>
              <w:t>11</w:t>
            </w:r>
            <w:r>
              <w:rPr>
                <w:rFonts w:hint="eastAsia" w:ascii="宋体" w:hAnsi="宋体" w:eastAsia="宋体" w:cs="宋体"/>
                <w:b w:val="0"/>
                <w:bCs w:val="0"/>
                <w:sz w:val="24"/>
                <w:szCs w:val="24"/>
              </w:rPr>
              <w:t>日</w:t>
            </w:r>
          </w:p>
        </w:tc>
        <w:tc>
          <w:tcPr>
            <w:tcW w:w="1585" w:type="dxa"/>
            <w:vMerge w:val="continue"/>
          </w:tcPr>
          <w:p>
            <w:pPr>
              <w:spacing w:line="360" w:lineRule="auto"/>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2122" w:type="dxa"/>
            <w:vMerge w:val="continue"/>
            <w:vAlign w:val="center"/>
          </w:tcPr>
          <w:p>
            <w:pPr>
              <w:spacing w:line="360" w:lineRule="auto"/>
              <w:rPr>
                <w:rFonts w:hint="eastAsia" w:ascii="宋体" w:hAnsi="宋体" w:eastAsia="宋体" w:cs="宋体"/>
                <w:b w:val="0"/>
                <w:bCs w:val="0"/>
                <w:sz w:val="24"/>
                <w:szCs w:val="24"/>
              </w:rPr>
            </w:pPr>
          </w:p>
        </w:tc>
        <w:tc>
          <w:tcPr>
            <w:tcW w:w="998" w:type="dxa"/>
            <w:vMerge w:val="continue"/>
            <w:vAlign w:val="center"/>
          </w:tcPr>
          <w:p>
            <w:pPr>
              <w:spacing w:line="360" w:lineRule="auto"/>
              <w:rPr>
                <w:rFonts w:hint="eastAsia" w:ascii="宋体" w:hAnsi="宋体" w:eastAsia="宋体" w:cs="宋体"/>
                <w:b w:val="0"/>
                <w:bCs w:val="0"/>
                <w:sz w:val="24"/>
                <w:szCs w:val="24"/>
              </w:rPr>
            </w:pPr>
          </w:p>
        </w:tc>
        <w:tc>
          <w:tcPr>
            <w:tcW w:w="10004" w:type="dxa"/>
            <w:vAlign w:val="center"/>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审核条款</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Q(J):5.3(4.3)</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6.1（12.3-5）、6.2(3.4)</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7.1.2(5.1-3)</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7.2-7.3/(5.1-5.3)</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7.4(10.5.4)</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7.5(3.5)</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9.1.3(12.1</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12.2)</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9.2(12.2)</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10.2(12.3)；</w:t>
            </w:r>
          </w:p>
        </w:tc>
        <w:tc>
          <w:tcPr>
            <w:tcW w:w="1585" w:type="dxa"/>
            <w:vMerge w:val="continue"/>
          </w:tcPr>
          <w:p>
            <w:pPr>
              <w:spacing w:line="360" w:lineRule="auto"/>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9" w:hRule="atLeast"/>
        </w:trPr>
        <w:tc>
          <w:tcPr>
            <w:tcW w:w="2122" w:type="dxa"/>
            <w:vAlign w:val="center"/>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color w:val="auto"/>
                <w:sz w:val="24"/>
                <w:szCs w:val="24"/>
              </w:rPr>
              <w:t>组织的岗位、职责权限</w:t>
            </w:r>
          </w:p>
        </w:tc>
        <w:tc>
          <w:tcPr>
            <w:tcW w:w="998" w:type="dxa"/>
            <w:vAlign w:val="center"/>
          </w:tcPr>
          <w:p>
            <w:pPr>
              <w:spacing w:line="36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Q5.3</w:t>
            </w:r>
          </w:p>
          <w:p>
            <w:pPr>
              <w:pStyle w:val="2"/>
              <w:spacing w:line="36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J4.3</w:t>
            </w:r>
          </w:p>
          <w:p>
            <w:pPr>
              <w:spacing w:line="360" w:lineRule="auto"/>
              <w:rPr>
                <w:rFonts w:hint="eastAsia" w:ascii="宋体" w:hAnsi="宋体" w:eastAsia="宋体" w:cs="宋体"/>
                <w:b w:val="0"/>
                <w:bCs w:val="0"/>
                <w:sz w:val="24"/>
                <w:szCs w:val="24"/>
              </w:rPr>
            </w:pPr>
          </w:p>
        </w:tc>
        <w:tc>
          <w:tcPr>
            <w:tcW w:w="10004" w:type="dxa"/>
            <w:vAlign w:val="center"/>
          </w:tcPr>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按照公司领导要求，做好公司职能和岗位的具体确定，对从事建筑机电安装工程、电子与智能化工程、防雷工程的施工、通信工程施工、仪器仪表，电子产品（建筑智能化系统工程产品）、机电产品（机电设备安装工程产品）的销售有关的管理、执行和验证人员规定其职责、权限及其相互关系，以实现公司管理方针和管理目标。</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负责人：李苏燕。在手册中确定了</w:t>
            </w: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的职能，人员职责、权限和相互关系。</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询问</w:t>
            </w: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人员，基本清楚本部门职责。</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现有上述管理人员配置满足要求，配有与工作相关的电脑、打/复印机、传真机等设施。</w:t>
            </w:r>
          </w:p>
        </w:tc>
        <w:tc>
          <w:tcPr>
            <w:tcW w:w="1585" w:type="dxa"/>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9" w:hRule="atLeast"/>
        </w:trPr>
        <w:tc>
          <w:tcPr>
            <w:tcW w:w="2122" w:type="dxa"/>
            <w:vAlign w:val="center"/>
          </w:tcPr>
          <w:p>
            <w:pPr>
              <w:spacing w:line="360" w:lineRule="auto"/>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应对风险和机会的策划</w:t>
            </w:r>
          </w:p>
        </w:tc>
        <w:tc>
          <w:tcPr>
            <w:tcW w:w="998" w:type="dxa"/>
            <w:vAlign w:val="center"/>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Q6.1</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J12.3-5</w:t>
            </w:r>
          </w:p>
        </w:tc>
        <w:tc>
          <w:tcPr>
            <w:tcW w:w="10004" w:type="dxa"/>
            <w:vAlign w:val="center"/>
          </w:tcPr>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公司制定管理手册中，明确风险和机遇事件的识别方法/途径、风险和机遇事件的评估方式、制定主要风险和机遇事件的应对措施的要求、评价这些措施有效性的方法。</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制定《风险和机遇的应对控制程序》</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提供20</w:t>
            </w:r>
            <w:r>
              <w:rPr>
                <w:rFonts w:hint="eastAsia" w:ascii="宋体" w:hAnsi="宋体" w:eastAsia="宋体" w:cs="宋体"/>
                <w:b w:val="0"/>
                <w:bCs w:val="0"/>
                <w:sz w:val="24"/>
                <w:szCs w:val="24"/>
                <w:lang w:val="en-US" w:eastAsia="zh-CN"/>
              </w:rPr>
              <w:t>22</w:t>
            </w:r>
            <w:r>
              <w:rPr>
                <w:rFonts w:hint="eastAsia" w:ascii="宋体" w:hAnsi="宋体" w:eastAsia="宋体" w:cs="宋体"/>
                <w:b w:val="0"/>
                <w:bCs w:val="0"/>
                <w:sz w:val="24"/>
                <w:szCs w:val="24"/>
              </w:rPr>
              <w:t>年“风险与机遇评价评估分析表”，按照公司的施工等过程/部门对风险和机遇进行了评价识别，并制定应对措施。如外部因素、管理体系策划过程、顾客关系管理过程、订单管理过程、外部提供的过程产品和服务的控制和验证过程、施工提供控制、人力资源管理过程、文件化信息管理过程、分析、评价与改进过程等。应急管理过程人员管理过程等中出现的岗位人员突然离岗多人；员工能力、不能满足岗位需求；员工思想波动，工作不安心等风险共识别19项风险和机遇。采取措施包括：管理层确定组织机构方针、目标（指标）、方案/制定措施计划、噪声、固体废弃物污染防治控制。</w:t>
            </w:r>
          </w:p>
          <w:p>
            <w:pPr>
              <w:pStyle w:val="8"/>
              <w:shd w:val="clear" w:color="auto"/>
              <w:spacing w:before="0" w:beforeAutospacing="0" w:after="0" w:afterAutospacing="0" w:line="360" w:lineRule="auto"/>
              <w:jc w:val="both"/>
              <w:rPr>
                <w:rFonts w:hint="eastAsia" w:ascii="宋体" w:hAnsi="宋体" w:eastAsia="宋体" w:cs="宋体"/>
                <w:b w:val="0"/>
                <w:bCs w:val="0"/>
                <w:spacing w:val="7"/>
                <w:sz w:val="24"/>
                <w:szCs w:val="24"/>
              </w:rPr>
            </w:pPr>
            <w:r>
              <w:rPr>
                <w:rFonts w:hint="eastAsia" w:ascii="宋体" w:hAnsi="宋体" w:eastAsia="宋体" w:cs="宋体"/>
                <w:b w:val="0"/>
                <w:bCs w:val="0"/>
                <w:spacing w:val="7"/>
                <w:sz w:val="24"/>
                <w:szCs w:val="24"/>
                <w:lang w:eastAsia="zh-CN"/>
              </w:rPr>
              <w:t>经理</w:t>
            </w:r>
            <w:r>
              <w:rPr>
                <w:rFonts w:hint="eastAsia" w:ascii="宋体" w:hAnsi="宋体" w:eastAsia="宋体" w:cs="宋体"/>
                <w:b w:val="0"/>
                <w:bCs w:val="0"/>
                <w:spacing w:val="7"/>
                <w:sz w:val="24"/>
                <w:szCs w:val="24"/>
              </w:rPr>
              <w:t>介绍：理解公司所处的环境是建立、实施、保持和持续改进职业健康安全管理体系的基础。基于风险的思维，强化了对风险的系统化管理。包括三方面的内容：基于组织的过程，理解组织及其所处的内、外部环境，确定组织需要应对的风险和机遇；策划应对风险和机遇的措施；对风险进行系统化管理。</w:t>
            </w:r>
          </w:p>
          <w:p>
            <w:pPr>
              <w:spacing w:line="360" w:lineRule="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评价人：李苏燕、焦兴武等</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lang w:val="en-US" w:eastAsia="zh-CN"/>
              </w:rPr>
              <w:t>考核人：孟宏涛</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批准：</w:t>
            </w:r>
            <w:r>
              <w:rPr>
                <w:rFonts w:hint="eastAsia" w:ascii="宋体" w:hAnsi="宋体" w:eastAsia="宋体" w:cs="宋体"/>
                <w:b w:val="0"/>
                <w:bCs w:val="0"/>
                <w:sz w:val="24"/>
                <w:szCs w:val="24"/>
                <w:highlight w:val="none"/>
                <w:lang w:val="en-US" w:eastAsia="zh-CN"/>
              </w:rPr>
              <w:t>周东福</w:t>
            </w:r>
            <w:r>
              <w:rPr>
                <w:rFonts w:hint="eastAsia" w:ascii="宋体" w:hAnsi="宋体" w:eastAsia="宋体" w:cs="宋体"/>
                <w:b w:val="0"/>
                <w:bCs w:val="0"/>
                <w:sz w:val="24"/>
                <w:szCs w:val="24"/>
                <w:highlight w:val="none"/>
              </w:rPr>
              <w:t>，时间20</w:t>
            </w:r>
            <w:r>
              <w:rPr>
                <w:rFonts w:hint="eastAsia" w:ascii="宋体" w:hAnsi="宋体" w:eastAsia="宋体" w:cs="宋体"/>
                <w:b w:val="0"/>
                <w:bCs w:val="0"/>
                <w:sz w:val="24"/>
                <w:szCs w:val="24"/>
                <w:highlight w:val="none"/>
                <w:lang w:val="en-US" w:eastAsia="zh-CN"/>
              </w:rPr>
              <w:t>22.1.6</w:t>
            </w:r>
            <w:r>
              <w:rPr>
                <w:rFonts w:hint="eastAsia" w:ascii="宋体" w:hAnsi="宋体" w:eastAsia="宋体" w:cs="宋体"/>
                <w:b w:val="0"/>
                <w:bCs w:val="0"/>
                <w:sz w:val="24"/>
                <w:szCs w:val="24"/>
                <w:highlight w:val="none"/>
              </w:rPr>
              <w:t>。</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风险机遇识别基本充分，应对风险和机遇的措施基本适宜。</w:t>
            </w:r>
          </w:p>
        </w:tc>
        <w:tc>
          <w:tcPr>
            <w:tcW w:w="1585" w:type="dxa"/>
          </w:tcPr>
          <w:p>
            <w:pPr>
              <w:spacing w:line="360" w:lineRule="auto"/>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vAlign w:val="center"/>
          </w:tcPr>
          <w:p>
            <w:pPr>
              <w:spacing w:line="360" w:lineRule="auto"/>
              <w:rPr>
                <w:rFonts w:hint="eastAsia" w:ascii="宋体" w:hAnsi="宋体" w:eastAsia="宋体" w:cs="宋体"/>
                <w:b w:val="0"/>
                <w:bCs w:val="0"/>
                <w:sz w:val="24"/>
                <w:szCs w:val="24"/>
              </w:rPr>
            </w:pPr>
          </w:p>
          <w:p>
            <w:pPr>
              <w:spacing w:line="360" w:lineRule="auto"/>
              <w:rPr>
                <w:rFonts w:hint="eastAsia" w:ascii="宋体" w:hAnsi="宋体" w:eastAsia="宋体" w:cs="宋体"/>
                <w:b w:val="0"/>
                <w:bCs w:val="0"/>
                <w:sz w:val="24"/>
                <w:szCs w:val="24"/>
              </w:rPr>
            </w:pPr>
          </w:p>
          <w:p>
            <w:pPr>
              <w:spacing w:line="360" w:lineRule="auto"/>
              <w:rPr>
                <w:rFonts w:hint="eastAsia" w:ascii="宋体" w:hAnsi="宋体" w:eastAsia="宋体" w:cs="宋体"/>
                <w:b w:val="0"/>
                <w:bCs w:val="0"/>
                <w:sz w:val="24"/>
                <w:szCs w:val="24"/>
              </w:rPr>
            </w:pPr>
          </w:p>
          <w:p>
            <w:pPr>
              <w:pStyle w:val="2"/>
              <w:spacing w:line="360" w:lineRule="auto"/>
              <w:rPr>
                <w:rFonts w:hint="eastAsia" w:ascii="宋体" w:hAnsi="宋体" w:eastAsia="宋体" w:cs="宋体"/>
                <w:b w:val="0"/>
                <w:bCs w:val="0"/>
                <w:sz w:val="24"/>
                <w:szCs w:val="24"/>
              </w:rPr>
            </w:pPr>
          </w:p>
          <w:p>
            <w:pPr>
              <w:pStyle w:val="2"/>
              <w:spacing w:line="360" w:lineRule="auto"/>
              <w:rPr>
                <w:rFonts w:hint="eastAsia" w:ascii="宋体" w:hAnsi="宋体" w:eastAsia="宋体" w:cs="宋体"/>
                <w:b w:val="0"/>
                <w:bCs w:val="0"/>
                <w:sz w:val="24"/>
                <w:szCs w:val="24"/>
              </w:rPr>
            </w:pPr>
          </w:p>
          <w:p>
            <w:pPr>
              <w:pStyle w:val="2"/>
              <w:spacing w:line="360" w:lineRule="auto"/>
              <w:rPr>
                <w:rFonts w:hint="eastAsia" w:ascii="宋体" w:hAnsi="宋体" w:eastAsia="宋体" w:cs="宋体"/>
                <w:b w:val="0"/>
                <w:bCs w:val="0"/>
                <w:sz w:val="24"/>
                <w:szCs w:val="24"/>
              </w:rPr>
            </w:pP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目标、指标管理方案</w:t>
            </w:r>
          </w:p>
          <w:p>
            <w:pPr>
              <w:spacing w:line="360" w:lineRule="auto"/>
              <w:rPr>
                <w:rFonts w:hint="eastAsia" w:ascii="宋体" w:hAnsi="宋体" w:eastAsia="宋体" w:cs="宋体"/>
                <w:b w:val="0"/>
                <w:bCs w:val="0"/>
                <w:sz w:val="24"/>
                <w:szCs w:val="24"/>
              </w:rPr>
            </w:pPr>
          </w:p>
          <w:p>
            <w:pPr>
              <w:spacing w:line="360" w:lineRule="auto"/>
              <w:rPr>
                <w:rFonts w:hint="eastAsia" w:ascii="宋体" w:hAnsi="宋体" w:eastAsia="宋体" w:cs="宋体"/>
                <w:b w:val="0"/>
                <w:bCs w:val="0"/>
                <w:sz w:val="24"/>
                <w:szCs w:val="24"/>
              </w:rPr>
            </w:pPr>
          </w:p>
          <w:p>
            <w:pPr>
              <w:spacing w:line="360" w:lineRule="auto"/>
              <w:rPr>
                <w:rFonts w:hint="eastAsia" w:ascii="宋体" w:hAnsi="宋体" w:eastAsia="宋体" w:cs="宋体"/>
                <w:b w:val="0"/>
                <w:bCs w:val="0"/>
                <w:sz w:val="24"/>
                <w:szCs w:val="24"/>
              </w:rPr>
            </w:pPr>
          </w:p>
          <w:p>
            <w:pPr>
              <w:spacing w:line="360" w:lineRule="auto"/>
              <w:rPr>
                <w:rFonts w:hint="eastAsia" w:ascii="宋体" w:hAnsi="宋体" w:eastAsia="宋体" w:cs="宋体"/>
                <w:b w:val="0"/>
                <w:bCs w:val="0"/>
                <w:sz w:val="24"/>
                <w:szCs w:val="24"/>
              </w:rPr>
            </w:pPr>
          </w:p>
          <w:p>
            <w:pPr>
              <w:spacing w:line="360" w:lineRule="auto"/>
              <w:rPr>
                <w:rFonts w:hint="eastAsia" w:ascii="宋体" w:hAnsi="宋体" w:eastAsia="宋体" w:cs="宋体"/>
                <w:b w:val="0"/>
                <w:bCs w:val="0"/>
                <w:sz w:val="24"/>
                <w:szCs w:val="24"/>
              </w:rPr>
            </w:pPr>
          </w:p>
        </w:tc>
        <w:tc>
          <w:tcPr>
            <w:tcW w:w="998" w:type="dxa"/>
            <w:vAlign w:val="center"/>
          </w:tcPr>
          <w:p>
            <w:pPr>
              <w:spacing w:line="360" w:lineRule="auto"/>
              <w:rPr>
                <w:rFonts w:hint="eastAsia" w:ascii="宋体" w:hAnsi="宋体" w:eastAsia="宋体" w:cs="宋体"/>
                <w:b w:val="0"/>
                <w:bCs w:val="0"/>
                <w:sz w:val="24"/>
                <w:szCs w:val="24"/>
              </w:rPr>
            </w:pPr>
          </w:p>
          <w:p>
            <w:pPr>
              <w:pStyle w:val="2"/>
              <w:spacing w:line="360" w:lineRule="auto"/>
              <w:rPr>
                <w:rFonts w:hint="eastAsia" w:ascii="宋体" w:hAnsi="宋体" w:eastAsia="宋体" w:cs="宋体"/>
                <w:b w:val="0"/>
                <w:bCs w:val="0"/>
                <w:sz w:val="24"/>
                <w:szCs w:val="24"/>
              </w:rPr>
            </w:pPr>
          </w:p>
          <w:p>
            <w:pPr>
              <w:pStyle w:val="2"/>
              <w:spacing w:line="360" w:lineRule="auto"/>
              <w:rPr>
                <w:rFonts w:hint="eastAsia" w:ascii="宋体" w:hAnsi="宋体" w:eastAsia="宋体" w:cs="宋体"/>
                <w:b w:val="0"/>
                <w:bCs w:val="0"/>
                <w:sz w:val="24"/>
                <w:szCs w:val="24"/>
              </w:rPr>
            </w:pPr>
          </w:p>
          <w:p>
            <w:pPr>
              <w:pStyle w:val="2"/>
              <w:spacing w:line="360" w:lineRule="auto"/>
              <w:rPr>
                <w:rFonts w:hint="eastAsia" w:ascii="宋体" w:hAnsi="宋体" w:eastAsia="宋体" w:cs="宋体"/>
                <w:b w:val="0"/>
                <w:bCs w:val="0"/>
                <w:sz w:val="24"/>
                <w:szCs w:val="24"/>
              </w:rPr>
            </w:pPr>
          </w:p>
          <w:p>
            <w:pPr>
              <w:spacing w:line="360" w:lineRule="auto"/>
              <w:rPr>
                <w:rFonts w:hint="eastAsia" w:ascii="宋体" w:hAnsi="宋体" w:eastAsia="宋体" w:cs="宋体"/>
                <w:b w:val="0"/>
                <w:bCs w:val="0"/>
                <w:sz w:val="24"/>
                <w:szCs w:val="24"/>
              </w:rPr>
            </w:pP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Q6.2  </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J3.2.4</w:t>
            </w:r>
          </w:p>
        </w:tc>
        <w:tc>
          <w:tcPr>
            <w:tcW w:w="10004" w:type="dxa"/>
            <w:vAlign w:val="center"/>
          </w:tcPr>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公司对管理体系所需的相关职能、层次和过程设定管理目标。</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涉及的目标及实现情况是：</w:t>
            </w:r>
          </w:p>
          <w:p>
            <w:pPr>
              <w:pStyle w:val="2"/>
              <w:spacing w:line="360" w:lineRule="auto"/>
              <w:rPr>
                <w:rFonts w:hint="eastAsia" w:ascii="宋体" w:hAnsi="宋体" w:eastAsia="宋体" w:cs="宋体"/>
                <w:b w:val="0"/>
                <w:bCs w:val="0"/>
                <w:sz w:val="24"/>
                <w:szCs w:val="24"/>
              </w:rPr>
            </w:pPr>
          </w:p>
          <w:p>
            <w:pPr>
              <w:pStyle w:val="3"/>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drawing>
                <wp:anchor distT="0" distB="0" distL="114300" distR="114300" simplePos="0" relativeHeight="251660288" behindDoc="0" locked="0" layoutInCell="1" allowOverlap="1">
                  <wp:simplePos x="0" y="0"/>
                  <wp:positionH relativeFrom="column">
                    <wp:posOffset>386715</wp:posOffset>
                  </wp:positionH>
                  <wp:positionV relativeFrom="paragraph">
                    <wp:posOffset>55880</wp:posOffset>
                  </wp:positionV>
                  <wp:extent cx="5628005" cy="1969135"/>
                  <wp:effectExtent l="0" t="0" r="10795" b="1206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628005" cy="1969135"/>
                          </a:xfrm>
                          <a:prstGeom prst="rect">
                            <a:avLst/>
                          </a:prstGeom>
                          <a:noFill/>
                          <a:ln>
                            <a:noFill/>
                          </a:ln>
                        </pic:spPr>
                      </pic:pic>
                    </a:graphicData>
                  </a:graphic>
                </wp:anchor>
              </w:drawing>
            </w:r>
          </w:p>
          <w:p>
            <w:pPr>
              <w:pStyle w:val="3"/>
              <w:spacing w:line="360" w:lineRule="auto"/>
              <w:rPr>
                <w:rFonts w:hint="eastAsia" w:ascii="宋体" w:hAnsi="宋体" w:eastAsia="宋体" w:cs="宋体"/>
                <w:b w:val="0"/>
                <w:bCs w:val="0"/>
                <w:sz w:val="24"/>
                <w:szCs w:val="24"/>
              </w:rPr>
            </w:pPr>
          </w:p>
          <w:p>
            <w:pPr>
              <w:pStyle w:val="3"/>
              <w:spacing w:line="360" w:lineRule="auto"/>
              <w:rPr>
                <w:rFonts w:hint="eastAsia" w:ascii="宋体" w:hAnsi="宋体" w:eastAsia="宋体" w:cs="宋体"/>
                <w:b w:val="0"/>
                <w:bCs w:val="0"/>
                <w:sz w:val="24"/>
                <w:szCs w:val="24"/>
              </w:rPr>
            </w:pPr>
          </w:p>
          <w:p>
            <w:pPr>
              <w:pStyle w:val="3"/>
              <w:spacing w:line="360" w:lineRule="auto"/>
              <w:rPr>
                <w:rFonts w:hint="eastAsia" w:ascii="宋体" w:hAnsi="宋体" w:eastAsia="宋体" w:cs="宋体"/>
                <w:b w:val="0"/>
                <w:bCs w:val="0"/>
                <w:sz w:val="24"/>
                <w:szCs w:val="24"/>
              </w:rPr>
            </w:pPr>
          </w:p>
          <w:p>
            <w:pPr>
              <w:pStyle w:val="3"/>
              <w:spacing w:line="360" w:lineRule="auto"/>
              <w:rPr>
                <w:rFonts w:hint="eastAsia" w:ascii="宋体" w:hAnsi="宋体" w:eastAsia="宋体" w:cs="宋体"/>
                <w:b w:val="0"/>
                <w:bCs w:val="0"/>
                <w:sz w:val="24"/>
                <w:szCs w:val="24"/>
              </w:rPr>
            </w:pPr>
          </w:p>
          <w:p>
            <w:pPr>
              <w:pStyle w:val="3"/>
              <w:spacing w:line="360" w:lineRule="auto"/>
              <w:rPr>
                <w:rFonts w:hint="eastAsia" w:ascii="宋体" w:hAnsi="宋体" w:eastAsia="宋体" w:cs="宋体"/>
                <w:b w:val="0"/>
                <w:bCs w:val="0"/>
                <w:sz w:val="24"/>
                <w:szCs w:val="24"/>
              </w:rPr>
            </w:pPr>
          </w:p>
          <w:p>
            <w:pPr>
              <w:pStyle w:val="3"/>
              <w:spacing w:line="360" w:lineRule="auto"/>
              <w:rPr>
                <w:rFonts w:hint="eastAsia" w:ascii="宋体" w:hAnsi="宋体" w:eastAsia="宋体" w:cs="宋体"/>
                <w:b w:val="0"/>
                <w:bCs w:val="0"/>
                <w:sz w:val="24"/>
                <w:szCs w:val="24"/>
              </w:rPr>
            </w:pPr>
          </w:p>
          <w:p>
            <w:pPr>
              <w:pStyle w:val="3"/>
              <w:spacing w:line="360" w:lineRule="auto"/>
              <w:rPr>
                <w:rFonts w:hint="eastAsia" w:ascii="宋体" w:hAnsi="宋体" w:eastAsia="宋体" w:cs="宋体"/>
                <w:b w:val="0"/>
                <w:bCs w:val="0"/>
                <w:sz w:val="24"/>
                <w:szCs w:val="24"/>
              </w:rPr>
            </w:pP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目标可测量，与公司管理方针一致。有实施落实的方案， 根据</w:t>
            </w:r>
            <w:r>
              <w:rPr>
                <w:rFonts w:hint="eastAsia" w:ascii="宋体" w:hAnsi="宋体" w:eastAsia="宋体" w:cs="宋体"/>
                <w:b w:val="0"/>
                <w:bCs w:val="0"/>
                <w:sz w:val="24"/>
                <w:szCs w:val="24"/>
                <w:lang w:val="en-US" w:eastAsia="zh-CN"/>
              </w:rPr>
              <w:t>2022年1</w:t>
            </w:r>
            <w:r>
              <w:rPr>
                <w:rFonts w:hint="eastAsia" w:ascii="宋体" w:hAnsi="宋体" w:eastAsia="宋体" w:cs="宋体"/>
                <w:b w:val="0"/>
                <w:bCs w:val="0"/>
                <w:sz w:val="24"/>
                <w:szCs w:val="24"/>
              </w:rPr>
              <w:t>月</w:t>
            </w: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日统计结果，目标均已完成。</w:t>
            </w:r>
          </w:p>
        </w:tc>
        <w:tc>
          <w:tcPr>
            <w:tcW w:w="1585" w:type="dxa"/>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vAlign w:val="center"/>
          </w:tcPr>
          <w:p>
            <w:pPr>
              <w:spacing w:line="360" w:lineRule="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人员、能力、培训</w:t>
            </w:r>
          </w:p>
        </w:tc>
        <w:tc>
          <w:tcPr>
            <w:tcW w:w="998" w:type="dxa"/>
            <w:vAlign w:val="center"/>
          </w:tcPr>
          <w:p>
            <w:pPr>
              <w:spacing w:line="360" w:lineRule="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Q7.1.2</w:t>
            </w:r>
          </w:p>
          <w:p>
            <w:pPr>
              <w:spacing w:line="360" w:lineRule="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Q.2</w:t>
            </w:r>
          </w:p>
          <w:p>
            <w:pPr>
              <w:spacing w:line="360" w:lineRule="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J5.1-5.3</w:t>
            </w:r>
          </w:p>
          <w:p>
            <w:pPr>
              <w:spacing w:line="360" w:lineRule="auto"/>
              <w:ind w:firstLine="480" w:firstLineChars="200"/>
              <w:rPr>
                <w:rFonts w:hint="eastAsia" w:ascii="宋体" w:hAnsi="宋体" w:eastAsia="宋体" w:cs="宋体"/>
                <w:b w:val="0"/>
                <w:bCs w:val="0"/>
                <w:color w:val="000000" w:themeColor="text1"/>
                <w:sz w:val="24"/>
                <w:szCs w:val="24"/>
                <w14:textFill>
                  <w14:solidFill>
                    <w14:schemeClr w14:val="tx1"/>
                  </w14:solidFill>
                </w14:textFill>
              </w:rPr>
            </w:pPr>
          </w:p>
        </w:tc>
        <w:tc>
          <w:tcPr>
            <w:tcW w:w="10004" w:type="dxa"/>
            <w:vAlign w:val="center"/>
          </w:tcPr>
          <w:p>
            <w:pPr>
              <w:spacing w:line="360" w:lineRule="auto"/>
              <w:ind w:firstLine="480" w:firstLineChars="200"/>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lang w:eastAsia="zh-CN"/>
                <w14:textFill>
                  <w14:solidFill>
                    <w14:schemeClr w14:val="tx1"/>
                  </w14:solidFill>
                </w14:textFill>
              </w:rPr>
              <w:t>行政部</w:t>
            </w:r>
            <w:r>
              <w:rPr>
                <w:rFonts w:hint="eastAsia" w:ascii="宋体" w:hAnsi="宋体" w:eastAsia="宋体" w:cs="宋体"/>
                <w:b w:val="0"/>
                <w:bCs w:val="0"/>
                <w:color w:val="000000" w:themeColor="text1"/>
                <w:sz w:val="24"/>
                <w:szCs w:val="24"/>
                <w14:textFill>
                  <w14:solidFill>
                    <w14:schemeClr w14:val="tx1"/>
                  </w14:solidFill>
                </w14:textFill>
              </w:rPr>
              <w:t>根据各部门的需要配备管理体系运行所需的人员，任命内审员2名，均经过相关培训，有公司任命证书。查有《人力资源控制程序》并制定有相关人员的职责和权限相关文件化信息确定并对配备所需的人员资源，各级各层人员能力、意识、岗位定员、部门人员职责、权限、相互关系等进行了清晰要求并做了沟通，以有效实施体系并运行和控制其过程。</w:t>
            </w:r>
          </w:p>
          <w:p>
            <w:pPr>
              <w:spacing w:line="360" w:lineRule="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提供有员工花名册，目前公司共有员工</w:t>
            </w:r>
            <w:r>
              <w:rPr>
                <w:rFonts w:hint="eastAsia" w:ascii="宋体" w:hAnsi="宋体" w:eastAsia="宋体" w:cs="宋体"/>
                <w:b w:val="0"/>
                <w:bCs w:val="0"/>
                <w:color w:val="000000" w:themeColor="text1"/>
                <w:sz w:val="24"/>
                <w:szCs w:val="24"/>
                <w:lang w:val="en-US" w:eastAsia="zh-CN"/>
                <w14:textFill>
                  <w14:solidFill>
                    <w14:schemeClr w14:val="tx1"/>
                  </w14:solidFill>
                </w14:textFill>
              </w:rPr>
              <w:t>40</w:t>
            </w:r>
            <w:r>
              <w:rPr>
                <w:rFonts w:hint="eastAsia" w:ascii="宋体" w:hAnsi="宋体" w:eastAsia="宋体" w:cs="宋体"/>
                <w:b w:val="0"/>
                <w:bCs w:val="0"/>
                <w:color w:val="000000" w:themeColor="text1"/>
                <w:sz w:val="24"/>
                <w:szCs w:val="24"/>
                <w14:textFill>
                  <w14:solidFill>
                    <w14:schemeClr w14:val="tx1"/>
                  </w14:solidFill>
                </w14:textFill>
              </w:rPr>
              <w:t>人，各部门人员配备基本充分，基本符合要求</w:t>
            </w:r>
          </w:p>
          <w:p>
            <w:pPr>
              <w:spacing w:line="360" w:lineRule="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公司对各岗位能力规定的要求包括了专业技能、岗位资格、能力、工作经验等。对人员素质必须满足任职要求，确定受其控制的工作人员所需具备的能力，岗位全过程操作人员的能力确定，主要是经培训、合格上岗，基于适当的教育、培训或经历，确保这些人员是胜任。查有：人员能力要求资格确认表，公司经识别，设计过程为关键过程，对人员岗位人员能力进行了资格确认，均有评审结果，基本符合要求。</w:t>
            </w:r>
          </w:p>
          <w:p>
            <w:pPr>
              <w:pStyle w:val="3"/>
              <w:spacing w:line="360" w:lineRule="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查项目负责人张卫鹏“二级建造师注册证书（机电工程专业）”“安管人员（建安B证）”</w:t>
            </w:r>
          </w:p>
          <w:p>
            <w:pPr>
              <w:pStyle w:val="3"/>
              <w:spacing w:line="360" w:lineRule="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sz w:val="24"/>
                <w:szCs w:val="24"/>
              </w:rPr>
              <w:drawing>
                <wp:anchor distT="0" distB="0" distL="114300" distR="114300" simplePos="0" relativeHeight="251661312" behindDoc="0" locked="0" layoutInCell="1" allowOverlap="1">
                  <wp:simplePos x="0" y="0"/>
                  <wp:positionH relativeFrom="column">
                    <wp:posOffset>-13970</wp:posOffset>
                  </wp:positionH>
                  <wp:positionV relativeFrom="paragraph">
                    <wp:posOffset>46990</wp:posOffset>
                  </wp:positionV>
                  <wp:extent cx="1913890" cy="2565400"/>
                  <wp:effectExtent l="0" t="0" r="3810" b="0"/>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7"/>
                          <a:stretch>
                            <a:fillRect/>
                          </a:stretch>
                        </pic:blipFill>
                        <pic:spPr>
                          <a:xfrm>
                            <a:off x="0" y="0"/>
                            <a:ext cx="1913890" cy="2565400"/>
                          </a:xfrm>
                          <a:prstGeom prst="rect">
                            <a:avLst/>
                          </a:prstGeom>
                          <a:noFill/>
                          <a:ln>
                            <a:noFill/>
                          </a:ln>
                        </pic:spPr>
                      </pic:pic>
                    </a:graphicData>
                  </a:graphic>
                </wp:anchor>
              </w:drawing>
            </w:r>
            <w:r>
              <w:rPr>
                <w:rFonts w:hint="eastAsia" w:ascii="宋体" w:hAnsi="宋体" w:eastAsia="宋体" w:cs="宋体"/>
                <w:b w:val="0"/>
                <w:bCs w:val="0"/>
                <w:sz w:val="24"/>
                <w:szCs w:val="24"/>
              </w:rPr>
              <w:drawing>
                <wp:anchor distT="0" distB="0" distL="114300" distR="114300" simplePos="0" relativeHeight="251662336" behindDoc="0" locked="0" layoutInCell="1" allowOverlap="1">
                  <wp:simplePos x="0" y="0"/>
                  <wp:positionH relativeFrom="column">
                    <wp:posOffset>1934845</wp:posOffset>
                  </wp:positionH>
                  <wp:positionV relativeFrom="paragraph">
                    <wp:posOffset>67945</wp:posOffset>
                  </wp:positionV>
                  <wp:extent cx="1871980" cy="2548255"/>
                  <wp:effectExtent l="0" t="0" r="7620"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8"/>
                          <a:stretch>
                            <a:fillRect/>
                          </a:stretch>
                        </pic:blipFill>
                        <pic:spPr>
                          <a:xfrm>
                            <a:off x="0" y="0"/>
                            <a:ext cx="1871980" cy="2548255"/>
                          </a:xfrm>
                          <a:prstGeom prst="rect">
                            <a:avLst/>
                          </a:prstGeom>
                          <a:noFill/>
                          <a:ln>
                            <a:noFill/>
                          </a:ln>
                        </pic:spPr>
                      </pic:pic>
                    </a:graphicData>
                  </a:graphic>
                </wp:anchor>
              </w:drawing>
            </w:r>
          </w:p>
          <w:p>
            <w:pPr>
              <w:pStyle w:val="3"/>
              <w:spacing w:line="360" w:lineRule="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sz w:val="24"/>
                <w:szCs w:val="24"/>
              </w:rPr>
              <w:drawing>
                <wp:anchor distT="0" distB="0" distL="114300" distR="114300" simplePos="0" relativeHeight="251663360" behindDoc="0" locked="0" layoutInCell="1" allowOverlap="1">
                  <wp:simplePos x="0" y="0"/>
                  <wp:positionH relativeFrom="column">
                    <wp:posOffset>3872865</wp:posOffset>
                  </wp:positionH>
                  <wp:positionV relativeFrom="paragraph">
                    <wp:posOffset>23495</wp:posOffset>
                  </wp:positionV>
                  <wp:extent cx="2324735" cy="1873885"/>
                  <wp:effectExtent l="0" t="0" r="12065" b="5715"/>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9"/>
                          <a:stretch>
                            <a:fillRect/>
                          </a:stretch>
                        </pic:blipFill>
                        <pic:spPr>
                          <a:xfrm>
                            <a:off x="0" y="0"/>
                            <a:ext cx="2324735" cy="1873885"/>
                          </a:xfrm>
                          <a:prstGeom prst="rect">
                            <a:avLst/>
                          </a:prstGeom>
                          <a:noFill/>
                          <a:ln>
                            <a:noFill/>
                          </a:ln>
                        </pic:spPr>
                      </pic:pic>
                    </a:graphicData>
                  </a:graphic>
                </wp:anchor>
              </w:drawing>
            </w:r>
          </w:p>
          <w:p>
            <w:pPr>
              <w:pStyle w:val="3"/>
              <w:spacing w:line="360" w:lineRule="auto"/>
              <w:rPr>
                <w:rFonts w:hint="eastAsia" w:ascii="宋体" w:hAnsi="宋体" w:eastAsia="宋体" w:cs="宋体"/>
                <w:b w:val="0"/>
                <w:bCs w:val="0"/>
                <w:color w:val="000000"/>
                <w:kern w:val="0"/>
                <w:sz w:val="24"/>
                <w:szCs w:val="24"/>
                <w:lang w:val="en-US" w:eastAsia="zh-CN"/>
              </w:rPr>
            </w:pPr>
          </w:p>
          <w:p>
            <w:pPr>
              <w:pStyle w:val="3"/>
              <w:spacing w:line="360" w:lineRule="auto"/>
              <w:rPr>
                <w:rFonts w:hint="eastAsia" w:ascii="宋体" w:hAnsi="宋体" w:eastAsia="宋体" w:cs="宋体"/>
                <w:b w:val="0"/>
                <w:bCs w:val="0"/>
                <w:color w:val="000000"/>
                <w:kern w:val="0"/>
                <w:sz w:val="24"/>
                <w:szCs w:val="24"/>
                <w:lang w:val="en-US" w:eastAsia="zh-CN"/>
              </w:rPr>
            </w:pPr>
          </w:p>
          <w:p>
            <w:pPr>
              <w:pStyle w:val="3"/>
              <w:spacing w:line="360" w:lineRule="auto"/>
              <w:rPr>
                <w:rFonts w:hint="eastAsia" w:ascii="宋体" w:hAnsi="宋体" w:eastAsia="宋体" w:cs="宋体"/>
                <w:b w:val="0"/>
                <w:bCs w:val="0"/>
                <w:color w:val="000000"/>
                <w:kern w:val="0"/>
                <w:sz w:val="24"/>
                <w:szCs w:val="24"/>
                <w:lang w:val="en-US" w:eastAsia="zh-CN"/>
              </w:rPr>
            </w:pPr>
          </w:p>
          <w:p>
            <w:pPr>
              <w:pStyle w:val="3"/>
              <w:spacing w:line="360" w:lineRule="auto"/>
              <w:rPr>
                <w:rFonts w:hint="eastAsia" w:ascii="宋体" w:hAnsi="宋体" w:eastAsia="宋体" w:cs="宋体"/>
                <w:b w:val="0"/>
                <w:bCs w:val="0"/>
                <w:color w:val="000000"/>
                <w:kern w:val="0"/>
                <w:sz w:val="24"/>
                <w:szCs w:val="24"/>
                <w:lang w:val="en-US" w:eastAsia="zh-CN"/>
              </w:rPr>
            </w:pPr>
          </w:p>
          <w:p>
            <w:pPr>
              <w:pStyle w:val="3"/>
              <w:spacing w:line="360" w:lineRule="auto"/>
              <w:rPr>
                <w:rFonts w:hint="eastAsia" w:ascii="宋体" w:hAnsi="宋体" w:eastAsia="宋体" w:cs="宋体"/>
                <w:b w:val="0"/>
                <w:bCs w:val="0"/>
                <w:color w:val="000000"/>
                <w:kern w:val="0"/>
                <w:sz w:val="24"/>
                <w:szCs w:val="24"/>
                <w:lang w:val="en-US" w:eastAsia="zh-CN"/>
              </w:rPr>
            </w:pPr>
          </w:p>
          <w:p>
            <w:pPr>
              <w:pStyle w:val="3"/>
              <w:spacing w:line="360" w:lineRule="auto"/>
              <w:rPr>
                <w:rFonts w:hint="eastAsia" w:ascii="宋体" w:hAnsi="宋体" w:eastAsia="宋体" w:cs="宋体"/>
                <w:b w:val="0"/>
                <w:bCs w:val="0"/>
                <w:color w:val="000000"/>
                <w:kern w:val="0"/>
                <w:sz w:val="24"/>
                <w:szCs w:val="24"/>
                <w:lang w:val="en-US" w:eastAsia="zh-CN"/>
              </w:rPr>
            </w:pPr>
          </w:p>
          <w:p>
            <w:pPr>
              <w:pStyle w:val="3"/>
              <w:spacing w:line="360" w:lineRule="auto"/>
              <w:rPr>
                <w:rFonts w:hint="eastAsia" w:ascii="宋体" w:hAnsi="宋体" w:eastAsia="宋体" w:cs="宋体"/>
                <w:b w:val="0"/>
                <w:bCs w:val="0"/>
                <w:color w:val="000000"/>
                <w:kern w:val="0"/>
                <w:sz w:val="24"/>
                <w:szCs w:val="24"/>
                <w:lang w:val="en-US" w:eastAsia="zh-CN"/>
              </w:rPr>
            </w:pPr>
          </w:p>
          <w:p>
            <w:pPr>
              <w:pStyle w:val="3"/>
              <w:spacing w:line="360" w:lineRule="auto"/>
              <w:rPr>
                <w:rFonts w:hint="eastAsia" w:ascii="宋体" w:hAnsi="宋体" w:eastAsia="宋体" w:cs="宋体"/>
                <w:b w:val="0"/>
                <w:bCs w:val="0"/>
                <w:color w:val="000000"/>
                <w:kern w:val="0"/>
                <w:sz w:val="24"/>
                <w:szCs w:val="24"/>
                <w:lang w:val="en-US" w:eastAsia="zh-CN"/>
              </w:rPr>
            </w:pPr>
          </w:p>
          <w:p>
            <w:pPr>
              <w:pStyle w:val="3"/>
              <w:spacing w:line="360" w:lineRule="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查技术人员张耀鹏“安管人员（建安C证），证件号：陕建安C1(2016)0006574”“化工仪表维修三级证书，编号：1656003050314518”“高处作业证，证号：T610527198404295317,有效期：20181109-20241108”“电工作业证，证号：T610527198404295317,有效期：20181107-20241106”，均合格有效；</w:t>
            </w:r>
          </w:p>
          <w:p>
            <w:pPr>
              <w:pStyle w:val="3"/>
              <w:spacing w:line="360" w:lineRule="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查安全负责人王栋“安管人员（建安C证），证件号：陕建安C2(2016)0006517”“高处作业证，证号：T61052619871115581X,有效期：20181109-20241108”“电工作业证，证号：T61052619871115581X,有效期：20181107-20241106”，均合格有效；</w:t>
            </w:r>
          </w:p>
          <w:p>
            <w:pPr>
              <w:pStyle w:val="3"/>
              <w:spacing w:line="360" w:lineRule="auto"/>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再抽查施工人员李耀宗“HSE上岗证，证号：HBPX183467，发证单位中国石化安全监督管理部门”“高处作业证，证号：T642223198409300811,有效期：20181023-20241023”“电工作业证，证号：T642223198409300811,有效期：20181013-20241013”，均合格有效；……以上证件详见附件。</w:t>
            </w:r>
          </w:p>
          <w:p>
            <w:pPr>
              <w:spacing w:line="360" w:lineRule="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查看“</w:t>
            </w:r>
            <w:r>
              <w:rPr>
                <w:rFonts w:hint="eastAsia" w:ascii="宋体" w:hAnsi="宋体" w:eastAsia="宋体" w:cs="宋体"/>
                <w:b w:val="0"/>
                <w:bCs w:val="0"/>
                <w:color w:val="000000"/>
                <w:kern w:val="0"/>
                <w:sz w:val="24"/>
                <w:szCs w:val="24"/>
                <w:lang w:val="en-US" w:eastAsia="zh-CN"/>
              </w:rPr>
              <w:t>2021-</w:t>
            </w:r>
            <w:r>
              <w:rPr>
                <w:rFonts w:hint="eastAsia" w:ascii="宋体" w:hAnsi="宋体" w:eastAsia="宋体" w:cs="宋体"/>
                <w:b w:val="0"/>
                <w:bCs w:val="0"/>
                <w:color w:val="000000"/>
                <w:kern w:val="0"/>
                <w:sz w:val="24"/>
                <w:szCs w:val="24"/>
              </w:rPr>
              <w:t>202</w:t>
            </w:r>
            <w:r>
              <w:rPr>
                <w:rFonts w:hint="eastAsia" w:ascii="宋体" w:hAnsi="宋体" w:eastAsia="宋体" w:cs="宋体"/>
                <w:b w:val="0"/>
                <w:bCs w:val="0"/>
                <w:color w:val="000000"/>
                <w:kern w:val="0"/>
                <w:sz w:val="24"/>
                <w:szCs w:val="24"/>
                <w:lang w:val="en-US" w:eastAsia="zh-CN"/>
              </w:rPr>
              <w:t>1</w:t>
            </w:r>
            <w:r>
              <w:rPr>
                <w:rFonts w:hint="eastAsia" w:ascii="宋体" w:hAnsi="宋体" w:eastAsia="宋体" w:cs="宋体"/>
                <w:b w:val="0"/>
                <w:bCs w:val="0"/>
                <w:color w:val="000000"/>
                <w:kern w:val="0"/>
                <w:sz w:val="24"/>
                <w:szCs w:val="24"/>
              </w:rPr>
              <w:t>年培训计划”，内容包括质量、环境、安全基础知识培训。列入了培训计划内容如：管理评审知识、管理体系文件培训、安全知识等。查有：培训记录/评价表、培训试题等。</w:t>
            </w:r>
          </w:p>
          <w:p>
            <w:pPr>
              <w:spacing w:line="360" w:lineRule="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抽查《培训记录/评价表》：</w:t>
            </w:r>
          </w:p>
          <w:p>
            <w:pPr>
              <w:spacing w:line="360" w:lineRule="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1、20</w:t>
            </w:r>
            <w:r>
              <w:rPr>
                <w:rFonts w:hint="eastAsia" w:ascii="宋体" w:hAnsi="宋体" w:eastAsia="宋体" w:cs="宋体"/>
                <w:b w:val="0"/>
                <w:bCs w:val="0"/>
                <w:color w:val="000000"/>
                <w:kern w:val="0"/>
                <w:sz w:val="24"/>
                <w:szCs w:val="24"/>
                <w:lang w:val="en-US" w:eastAsia="zh-CN"/>
              </w:rPr>
              <w:t>21</w:t>
            </w:r>
            <w:r>
              <w:rPr>
                <w:rFonts w:hint="eastAsia" w:ascii="宋体" w:hAnsi="宋体" w:eastAsia="宋体" w:cs="宋体"/>
                <w:b w:val="0"/>
                <w:bCs w:val="0"/>
                <w:color w:val="000000"/>
                <w:kern w:val="0"/>
                <w:sz w:val="24"/>
                <w:szCs w:val="24"/>
              </w:rPr>
              <w:t>-</w:t>
            </w:r>
            <w:r>
              <w:rPr>
                <w:rFonts w:hint="eastAsia" w:ascii="宋体" w:hAnsi="宋体" w:eastAsia="宋体" w:cs="宋体"/>
                <w:b w:val="0"/>
                <w:bCs w:val="0"/>
                <w:color w:val="000000"/>
                <w:kern w:val="0"/>
                <w:sz w:val="24"/>
                <w:szCs w:val="24"/>
                <w:lang w:val="en-US" w:eastAsia="zh-CN"/>
              </w:rPr>
              <w:t>6/1-2</w:t>
            </w:r>
            <w:r>
              <w:rPr>
                <w:rFonts w:hint="eastAsia" w:ascii="宋体" w:hAnsi="宋体" w:eastAsia="宋体" w:cs="宋体"/>
                <w:b w:val="0"/>
                <w:bCs w:val="0"/>
                <w:color w:val="000000"/>
                <w:kern w:val="0"/>
                <w:sz w:val="24"/>
                <w:szCs w:val="24"/>
              </w:rPr>
              <w:t>：对管理体系文件进行了培训。培训老师：</w:t>
            </w:r>
            <w:r>
              <w:rPr>
                <w:rFonts w:hint="eastAsia" w:ascii="宋体" w:hAnsi="宋体" w:eastAsia="宋体" w:cs="宋体"/>
                <w:b w:val="0"/>
                <w:bCs w:val="0"/>
                <w:color w:val="000000"/>
                <w:kern w:val="0"/>
                <w:sz w:val="24"/>
                <w:szCs w:val="24"/>
                <w:lang w:val="en-US" w:eastAsia="zh-CN"/>
              </w:rPr>
              <w:t>胡老师</w:t>
            </w:r>
            <w:r>
              <w:rPr>
                <w:rFonts w:hint="eastAsia" w:ascii="宋体" w:hAnsi="宋体" w:eastAsia="宋体" w:cs="宋体"/>
                <w:b w:val="0"/>
                <w:bCs w:val="0"/>
                <w:color w:val="000000"/>
                <w:kern w:val="0"/>
                <w:sz w:val="24"/>
                <w:szCs w:val="24"/>
              </w:rPr>
              <w:t>，参加人员：各部门人员等。通过口试对理解情况进行考核，考核结果：全部通过。验证人：</w:t>
            </w:r>
            <w:r>
              <w:rPr>
                <w:rFonts w:hint="eastAsia" w:ascii="宋体" w:hAnsi="宋体" w:eastAsia="宋体" w:cs="宋体"/>
                <w:b w:val="0"/>
                <w:bCs w:val="0"/>
                <w:color w:val="000000"/>
                <w:kern w:val="0"/>
                <w:sz w:val="24"/>
                <w:szCs w:val="24"/>
                <w:lang w:val="en-US" w:eastAsia="zh-CN"/>
              </w:rPr>
              <w:t>李苏燕</w:t>
            </w:r>
            <w:r>
              <w:rPr>
                <w:rFonts w:hint="eastAsia" w:ascii="宋体" w:hAnsi="宋体" w:eastAsia="宋体" w:cs="宋体"/>
                <w:b w:val="0"/>
                <w:bCs w:val="0"/>
                <w:color w:val="000000"/>
                <w:kern w:val="0"/>
                <w:sz w:val="24"/>
                <w:szCs w:val="24"/>
              </w:rPr>
              <w:t>。</w:t>
            </w:r>
          </w:p>
          <w:p>
            <w:pPr>
              <w:pStyle w:val="2"/>
              <w:spacing w:line="36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000000"/>
                <w:kern w:val="0"/>
                <w:sz w:val="24"/>
                <w:szCs w:val="24"/>
              </w:rPr>
              <w:t>2、202</w:t>
            </w:r>
            <w:r>
              <w:rPr>
                <w:rFonts w:hint="eastAsia" w:ascii="宋体" w:hAnsi="宋体" w:eastAsia="宋体" w:cs="宋体"/>
                <w:b w:val="0"/>
                <w:bCs w:val="0"/>
                <w:color w:val="000000"/>
                <w:kern w:val="0"/>
                <w:sz w:val="24"/>
                <w:szCs w:val="24"/>
                <w:lang w:val="en-US" w:eastAsia="zh-CN"/>
              </w:rPr>
              <w:t>1</w:t>
            </w:r>
            <w:r>
              <w:rPr>
                <w:rFonts w:hint="eastAsia" w:ascii="宋体" w:hAnsi="宋体" w:eastAsia="宋体" w:cs="宋体"/>
                <w:b w:val="0"/>
                <w:bCs w:val="0"/>
                <w:color w:val="000000"/>
                <w:kern w:val="0"/>
                <w:sz w:val="24"/>
                <w:szCs w:val="24"/>
              </w:rPr>
              <w:t>-</w:t>
            </w:r>
            <w:r>
              <w:rPr>
                <w:rFonts w:hint="eastAsia" w:ascii="宋体" w:hAnsi="宋体" w:eastAsia="宋体" w:cs="宋体"/>
                <w:b w:val="0"/>
                <w:bCs w:val="0"/>
                <w:color w:val="000000"/>
                <w:kern w:val="0"/>
                <w:sz w:val="24"/>
                <w:szCs w:val="24"/>
                <w:lang w:val="en-US" w:eastAsia="zh-CN"/>
              </w:rPr>
              <w:t>9</w:t>
            </w:r>
            <w:r>
              <w:rPr>
                <w:rFonts w:hint="eastAsia" w:ascii="宋体" w:hAnsi="宋体" w:eastAsia="宋体" w:cs="宋体"/>
                <w:b w:val="0"/>
                <w:bCs w:val="0"/>
                <w:color w:val="000000"/>
                <w:kern w:val="0"/>
                <w:sz w:val="24"/>
                <w:szCs w:val="24"/>
              </w:rPr>
              <w:t>-</w:t>
            </w:r>
            <w:r>
              <w:rPr>
                <w:rFonts w:hint="eastAsia" w:ascii="宋体" w:hAnsi="宋体" w:eastAsia="宋体" w:cs="宋体"/>
                <w:b w:val="0"/>
                <w:bCs w:val="0"/>
                <w:color w:val="000000"/>
                <w:kern w:val="0"/>
                <w:sz w:val="24"/>
                <w:szCs w:val="24"/>
                <w:lang w:val="en-US" w:eastAsia="zh-CN"/>
              </w:rPr>
              <w:t>17</w:t>
            </w:r>
            <w:r>
              <w:rPr>
                <w:rFonts w:hint="eastAsia" w:ascii="宋体" w:hAnsi="宋体" w:eastAsia="宋体" w:cs="宋体"/>
                <w:b w:val="0"/>
                <w:bCs w:val="0"/>
                <w:color w:val="000000"/>
                <w:kern w:val="0"/>
                <w:sz w:val="24"/>
                <w:szCs w:val="24"/>
              </w:rPr>
              <w:t>：对环境及安全防护知识进行培训，培训老师：</w:t>
            </w:r>
            <w:r>
              <w:rPr>
                <w:rFonts w:hint="eastAsia" w:ascii="宋体" w:hAnsi="宋体" w:eastAsia="宋体" w:cs="宋体"/>
                <w:b w:val="0"/>
                <w:bCs w:val="0"/>
                <w:color w:val="000000"/>
                <w:kern w:val="0"/>
                <w:sz w:val="24"/>
                <w:szCs w:val="24"/>
                <w:lang w:val="en-US" w:eastAsia="zh-CN"/>
              </w:rPr>
              <w:t>李苏燕</w:t>
            </w:r>
            <w:r>
              <w:rPr>
                <w:rFonts w:hint="eastAsia" w:ascii="宋体" w:hAnsi="宋体" w:eastAsia="宋体" w:cs="宋体"/>
                <w:b w:val="0"/>
                <w:bCs w:val="0"/>
                <w:color w:val="000000"/>
                <w:kern w:val="0"/>
                <w:sz w:val="24"/>
                <w:szCs w:val="24"/>
              </w:rPr>
              <w:t>。参加人：各部门人员等。通过口试对理解情况进行考核，考核结果：全部通过。验证人：</w:t>
            </w:r>
            <w:r>
              <w:rPr>
                <w:rFonts w:hint="eastAsia" w:ascii="宋体" w:hAnsi="宋体" w:eastAsia="宋体" w:cs="宋体"/>
                <w:b w:val="0"/>
                <w:bCs w:val="0"/>
                <w:color w:val="000000"/>
                <w:kern w:val="0"/>
                <w:sz w:val="24"/>
                <w:szCs w:val="24"/>
                <w:lang w:val="en-US" w:eastAsia="zh-CN"/>
              </w:rPr>
              <w:t>李苏燕</w:t>
            </w:r>
            <w:r>
              <w:rPr>
                <w:rFonts w:hint="eastAsia" w:ascii="宋体" w:hAnsi="宋体" w:eastAsia="宋体" w:cs="宋体"/>
                <w:b w:val="0"/>
                <w:bCs w:val="0"/>
                <w:color w:val="000000"/>
                <w:kern w:val="0"/>
                <w:sz w:val="24"/>
                <w:szCs w:val="24"/>
              </w:rPr>
              <w:t>。</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通过学习、宣传等方法使在组织控制范围内的相关工作人员知道质量、环境、职业健康安全方针；相关的质量、环境、职业健康安全目标；员工对质量、环境、职业健康安全管理体系有效性的贡献，包括改进质量环境绩效的益处；不符合质量环境和职业健康安全管理体系要求的后果。</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询问</w:t>
            </w: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魏少丹知道公司方针，知道所在的工作岗位的质量、环境、职业健康安全目标，也了解自己的工作好坏会影响组织资质量、环境、职业健康安全管理体系的有效运行。</w:t>
            </w:r>
          </w:p>
          <w:p>
            <w:p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查客户中国石油天然气股份有限公司长庆油田分公司第二采油厂组织企业员工参加“HSE培训”，合格后发培训证书：</w:t>
            </w:r>
          </w:p>
          <w:p>
            <w:pPr>
              <w:spacing w:line="360" w:lineRule="auto"/>
              <w:ind w:firstLine="480" w:firstLineChars="200"/>
              <w:rPr>
                <w:rFonts w:hint="eastAsia" w:ascii="宋体" w:hAnsi="宋体" w:eastAsia="宋体" w:cs="宋体"/>
                <w:b w:val="0"/>
                <w:bCs w:val="0"/>
                <w:sz w:val="24"/>
                <w:szCs w:val="24"/>
                <w:lang w:val="en-US" w:eastAsia="zh-CN"/>
              </w:rPr>
            </w:pPr>
          </w:p>
          <w:p>
            <w:pPr>
              <w:pStyle w:val="3"/>
              <w:spacing w:line="360" w:lineRule="auto"/>
              <w:ind w:firstLine="480"/>
              <w:rPr>
                <w:rFonts w:hint="eastAsia" w:ascii="宋体" w:hAnsi="宋体" w:eastAsia="宋体" w:cs="宋体"/>
                <w:b w:val="0"/>
                <w:bCs w:val="0"/>
                <w:sz w:val="24"/>
                <w:szCs w:val="24"/>
                <w:lang w:val="en-US" w:eastAsia="zh-CN"/>
              </w:rPr>
            </w:pPr>
          </w:p>
          <w:p>
            <w:pPr>
              <w:pStyle w:val="3"/>
              <w:spacing w:line="360" w:lineRule="auto"/>
              <w:ind w:firstLine="48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drawing>
                <wp:anchor distT="0" distB="0" distL="114300" distR="114300" simplePos="0" relativeHeight="251666432" behindDoc="0" locked="0" layoutInCell="1" allowOverlap="1">
                  <wp:simplePos x="0" y="0"/>
                  <wp:positionH relativeFrom="column">
                    <wp:posOffset>4110990</wp:posOffset>
                  </wp:positionH>
                  <wp:positionV relativeFrom="paragraph">
                    <wp:posOffset>82550</wp:posOffset>
                  </wp:positionV>
                  <wp:extent cx="2095500" cy="1320800"/>
                  <wp:effectExtent l="0" t="0" r="0" b="0"/>
                  <wp:wrapNone/>
                  <wp:docPr id="27" name="图片 27" descr="赵永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赵永永"/>
                          <pic:cNvPicPr>
                            <a:picLocks noChangeAspect="1"/>
                          </pic:cNvPicPr>
                        </pic:nvPicPr>
                        <pic:blipFill>
                          <a:blip r:embed="rId10"/>
                          <a:stretch>
                            <a:fillRect/>
                          </a:stretch>
                        </pic:blipFill>
                        <pic:spPr>
                          <a:xfrm>
                            <a:off x="0" y="0"/>
                            <a:ext cx="2095500" cy="1320800"/>
                          </a:xfrm>
                          <a:prstGeom prst="rect">
                            <a:avLst/>
                          </a:prstGeom>
                        </pic:spPr>
                      </pic:pic>
                    </a:graphicData>
                  </a:graphic>
                </wp:anchor>
              </w:drawing>
            </w:r>
            <w:r>
              <w:rPr>
                <w:rFonts w:hint="eastAsia" w:ascii="宋体" w:hAnsi="宋体" w:eastAsia="宋体" w:cs="宋体"/>
                <w:b w:val="0"/>
                <w:bCs w:val="0"/>
                <w:sz w:val="24"/>
                <w:szCs w:val="24"/>
                <w:lang w:val="en-US"/>
              </w:rPr>
              <w:drawing>
                <wp:anchor distT="0" distB="0" distL="114300" distR="114300" simplePos="0" relativeHeight="251665408" behindDoc="0" locked="0" layoutInCell="1" allowOverlap="1">
                  <wp:simplePos x="0" y="0"/>
                  <wp:positionH relativeFrom="column">
                    <wp:posOffset>2052955</wp:posOffset>
                  </wp:positionH>
                  <wp:positionV relativeFrom="paragraph">
                    <wp:posOffset>38735</wp:posOffset>
                  </wp:positionV>
                  <wp:extent cx="2016760" cy="1450975"/>
                  <wp:effectExtent l="0" t="0" r="2540" b="9525"/>
                  <wp:wrapNone/>
                  <wp:docPr id="26" name="图片 26" descr="梁瑞锋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梁瑞锋HSE"/>
                          <pic:cNvPicPr>
                            <a:picLocks noChangeAspect="1"/>
                          </pic:cNvPicPr>
                        </pic:nvPicPr>
                        <pic:blipFill>
                          <a:blip r:embed="rId11"/>
                          <a:stretch>
                            <a:fillRect/>
                          </a:stretch>
                        </pic:blipFill>
                        <pic:spPr>
                          <a:xfrm>
                            <a:off x="0" y="0"/>
                            <a:ext cx="2016760" cy="1450975"/>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64384" behindDoc="0" locked="0" layoutInCell="1" allowOverlap="1">
                  <wp:simplePos x="0" y="0"/>
                  <wp:positionH relativeFrom="column">
                    <wp:posOffset>-30480</wp:posOffset>
                  </wp:positionH>
                  <wp:positionV relativeFrom="paragraph">
                    <wp:posOffset>40005</wp:posOffset>
                  </wp:positionV>
                  <wp:extent cx="2032000" cy="1466850"/>
                  <wp:effectExtent l="0" t="0" r="0" b="6350"/>
                  <wp:wrapNone/>
                  <wp:docPr id="25" name="图片 25" descr="李耀宗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李耀宗HSE"/>
                          <pic:cNvPicPr>
                            <a:picLocks noChangeAspect="1"/>
                          </pic:cNvPicPr>
                        </pic:nvPicPr>
                        <pic:blipFill>
                          <a:blip r:embed="rId12"/>
                          <a:stretch>
                            <a:fillRect/>
                          </a:stretch>
                        </pic:blipFill>
                        <pic:spPr>
                          <a:xfrm>
                            <a:off x="0" y="0"/>
                            <a:ext cx="2032000" cy="1466850"/>
                          </a:xfrm>
                          <a:prstGeom prst="rect">
                            <a:avLst/>
                          </a:prstGeom>
                        </pic:spPr>
                      </pic:pic>
                    </a:graphicData>
                  </a:graphic>
                </wp:anchor>
              </w:drawing>
            </w:r>
          </w:p>
          <w:p>
            <w:pPr>
              <w:pStyle w:val="2"/>
              <w:spacing w:line="360" w:lineRule="auto"/>
              <w:rPr>
                <w:rFonts w:hint="eastAsia" w:ascii="宋体" w:hAnsi="宋体" w:eastAsia="宋体" w:cs="宋体"/>
                <w:b w:val="0"/>
                <w:bCs w:val="0"/>
                <w:color w:val="FF0000"/>
                <w:sz w:val="24"/>
                <w:szCs w:val="24"/>
              </w:rPr>
            </w:pPr>
          </w:p>
          <w:p>
            <w:pPr>
              <w:pStyle w:val="2"/>
              <w:spacing w:line="360" w:lineRule="auto"/>
              <w:rPr>
                <w:rFonts w:hint="eastAsia" w:ascii="宋体" w:hAnsi="宋体" w:eastAsia="宋体" w:cs="宋体"/>
                <w:b w:val="0"/>
                <w:bCs w:val="0"/>
                <w:color w:val="FF0000"/>
                <w:sz w:val="24"/>
                <w:szCs w:val="24"/>
                <w:lang w:eastAsia="zh-CN"/>
              </w:rPr>
            </w:pPr>
          </w:p>
          <w:p>
            <w:pPr>
              <w:pStyle w:val="2"/>
              <w:spacing w:line="360" w:lineRule="auto"/>
              <w:rPr>
                <w:rFonts w:hint="eastAsia" w:ascii="宋体" w:hAnsi="宋体" w:eastAsia="宋体" w:cs="宋体"/>
                <w:b w:val="0"/>
                <w:bCs w:val="0"/>
                <w:color w:val="FF0000"/>
                <w:sz w:val="24"/>
                <w:szCs w:val="24"/>
                <w:lang w:eastAsia="zh-CN"/>
              </w:rPr>
            </w:pPr>
          </w:p>
          <w:p>
            <w:pPr>
              <w:pStyle w:val="2"/>
              <w:spacing w:line="360" w:lineRule="auto"/>
              <w:rPr>
                <w:rFonts w:hint="eastAsia" w:ascii="宋体" w:hAnsi="宋体" w:eastAsia="宋体" w:cs="宋体"/>
                <w:b w:val="0"/>
                <w:bCs w:val="0"/>
                <w:color w:val="FF0000"/>
                <w:sz w:val="24"/>
                <w:szCs w:val="24"/>
                <w:lang w:eastAsia="zh-CN"/>
              </w:rPr>
            </w:pPr>
          </w:p>
          <w:p>
            <w:pPr>
              <w:pStyle w:val="2"/>
              <w:spacing w:line="360" w:lineRule="auto"/>
              <w:rPr>
                <w:rFonts w:hint="eastAsia" w:ascii="宋体" w:hAnsi="宋体" w:eastAsia="宋体" w:cs="宋体"/>
                <w:b w:val="0"/>
                <w:bCs w:val="0"/>
                <w:color w:val="FF0000"/>
                <w:sz w:val="24"/>
                <w:szCs w:val="24"/>
                <w:lang w:eastAsia="zh-CN"/>
              </w:rPr>
            </w:pPr>
          </w:p>
          <w:p>
            <w:pPr>
              <w:pStyle w:val="2"/>
              <w:spacing w:line="360" w:lineRule="auto"/>
              <w:rPr>
                <w:rFonts w:hint="eastAsia" w:ascii="宋体" w:hAnsi="宋体" w:eastAsia="宋体" w:cs="宋体"/>
                <w:b w:val="0"/>
                <w:bCs w:val="0"/>
                <w:color w:val="FF0000"/>
                <w:sz w:val="24"/>
                <w:szCs w:val="24"/>
                <w:lang w:eastAsia="zh-CN"/>
              </w:rPr>
            </w:pPr>
          </w:p>
          <w:p>
            <w:pPr>
              <w:spacing w:line="360" w:lineRule="auto"/>
              <w:rPr>
                <w:rFonts w:hint="eastAsia" w:ascii="宋体" w:hAnsi="宋体" w:eastAsia="宋体" w:cs="宋体"/>
                <w:b w:val="0"/>
                <w:bCs w:val="0"/>
                <w:color w:val="FF0000"/>
                <w:sz w:val="24"/>
                <w:szCs w:val="24"/>
                <w:lang w:eastAsia="zh-CN"/>
              </w:rPr>
            </w:pPr>
            <w:r>
              <w:rPr>
                <w:rFonts w:hint="eastAsia" w:ascii="宋体" w:hAnsi="宋体" w:eastAsia="宋体" w:cs="宋体"/>
                <w:b w:val="0"/>
                <w:bCs w:val="0"/>
                <w:sz w:val="24"/>
                <w:szCs w:val="24"/>
              </w:rPr>
              <w:t>查以上全部人员证书的均在有效期内，</w:t>
            </w:r>
            <w:r>
              <w:rPr>
                <w:rFonts w:hint="eastAsia" w:ascii="宋体" w:hAnsi="宋体" w:eastAsia="宋体" w:cs="宋体"/>
                <w:b w:val="0"/>
                <w:bCs w:val="0"/>
                <w:spacing w:val="0"/>
                <w:sz w:val="24"/>
                <w:szCs w:val="24"/>
              </w:rPr>
              <w:t>对</w:t>
            </w:r>
            <w:r>
              <w:rPr>
                <w:rFonts w:hint="eastAsia" w:ascii="宋体" w:hAnsi="宋体" w:eastAsia="宋体" w:cs="宋体"/>
                <w:b w:val="0"/>
                <w:bCs w:val="0"/>
                <w:sz w:val="24"/>
                <w:szCs w:val="24"/>
              </w:rPr>
              <w:t>特种作业人员岗前进行安全交底，交底人、接底人签字。</w:t>
            </w:r>
            <w:r>
              <w:rPr>
                <w:rFonts w:hint="eastAsia" w:ascii="宋体" w:hAnsi="宋体" w:eastAsia="宋体" w:cs="宋体"/>
                <w:b w:val="0"/>
                <w:bCs w:val="0"/>
                <w:spacing w:val="0"/>
                <w:sz w:val="24"/>
                <w:szCs w:val="24"/>
              </w:rPr>
              <w:t>人员资质满足要求，公司人员基本稳定。各部门根据业务量提出人员需求，行政部负责人员招聘工作。项目部负责岗前培训和施工人员三级教育记录卡，行政部保留复印件。</w:t>
            </w:r>
            <w:r>
              <w:rPr>
                <w:rFonts w:hint="eastAsia" w:ascii="宋体" w:hAnsi="宋体" w:eastAsia="宋体" w:cs="宋体"/>
                <w:b w:val="0"/>
                <w:bCs w:val="0"/>
                <w:sz w:val="24"/>
                <w:szCs w:val="24"/>
              </w:rPr>
              <w:t>人力资源控制基本满足要求。</w:t>
            </w:r>
          </w:p>
        </w:tc>
        <w:tc>
          <w:tcPr>
            <w:tcW w:w="1585" w:type="dxa"/>
          </w:tcPr>
          <w:p>
            <w:pPr>
              <w:spacing w:line="360" w:lineRule="auto"/>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0" w:hRule="atLeast"/>
        </w:trPr>
        <w:tc>
          <w:tcPr>
            <w:tcW w:w="2122" w:type="dxa"/>
            <w:vAlign w:val="top"/>
          </w:tcPr>
          <w:p>
            <w:pPr>
              <w:spacing w:line="360" w:lineRule="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组织的知识</w:t>
            </w:r>
          </w:p>
          <w:p>
            <w:pPr>
              <w:spacing w:line="360" w:lineRule="auto"/>
              <w:rPr>
                <w:rFonts w:hint="eastAsia" w:ascii="宋体" w:hAnsi="宋体" w:eastAsia="宋体" w:cs="宋体"/>
                <w:b w:val="0"/>
                <w:bCs w:val="0"/>
                <w:sz w:val="24"/>
                <w:szCs w:val="24"/>
              </w:rPr>
            </w:pPr>
          </w:p>
        </w:tc>
        <w:tc>
          <w:tcPr>
            <w:tcW w:w="998" w:type="dxa"/>
            <w:vAlign w:val="top"/>
          </w:tcPr>
          <w:p>
            <w:pPr>
              <w:spacing w:line="360" w:lineRule="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Q7.1.6</w:t>
            </w:r>
          </w:p>
          <w:p>
            <w:pPr>
              <w:spacing w:line="360" w:lineRule="auto"/>
              <w:rPr>
                <w:rFonts w:hint="eastAsia" w:ascii="宋体" w:hAnsi="宋体" w:eastAsia="宋体" w:cs="宋体"/>
                <w:b w:val="0"/>
                <w:bCs w:val="0"/>
                <w:sz w:val="24"/>
                <w:szCs w:val="24"/>
              </w:rPr>
            </w:pPr>
          </w:p>
        </w:tc>
        <w:tc>
          <w:tcPr>
            <w:tcW w:w="10004" w:type="dxa"/>
            <w:vAlign w:val="center"/>
          </w:tcPr>
          <w:p>
            <w:pPr>
              <w:spacing w:line="360" w:lineRule="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rPr>
              <w:t xml:space="preserve">  </w:t>
            </w:r>
            <w:r>
              <w:rPr>
                <w:rFonts w:hint="eastAsia" w:ascii="宋体" w:hAnsi="宋体" w:eastAsia="宋体" w:cs="宋体"/>
                <w:b w:val="0"/>
                <w:bCs w:val="0"/>
                <w:color w:val="000000"/>
                <w:kern w:val="0"/>
                <w:sz w:val="24"/>
                <w:szCs w:val="24"/>
                <w:highlight w:val="none"/>
              </w:rPr>
              <w:t>公司确定运行过程所需的知识。提供了组织知识清单：内部来源包括：公司运作准则（管理手册、程序文件、管理制度、作业记录等）、管理过程控制失败和成功项目吸取的经验教训和改进的结果等；</w:t>
            </w:r>
          </w:p>
          <w:p>
            <w:pPr>
              <w:spacing w:line="360" w:lineRule="auto"/>
              <w:ind w:firstLine="480" w:firstLineChars="200"/>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外部来源包括：外来资料（如顾客反馈的信息、质量、技术规范）、法律法规、市场信息等。对知识的保持采取文件资料的保存和信息系统存储方式，在公司内部通过传递、交流、培训等方式获取。</w:t>
            </w:r>
          </w:p>
          <w:p>
            <w:pPr>
              <w:spacing w:line="360" w:lineRule="auto"/>
              <w:ind w:firstLine="480" w:firstLineChars="200"/>
              <w:rPr>
                <w:rFonts w:hint="eastAsia" w:ascii="宋体" w:hAnsi="宋体" w:eastAsia="宋体" w:cs="宋体"/>
                <w:b w:val="0"/>
                <w:bCs w:val="0"/>
                <w:color w:val="FF0000"/>
                <w:sz w:val="24"/>
                <w:szCs w:val="24"/>
              </w:rPr>
            </w:pPr>
            <w:r>
              <w:rPr>
                <w:rFonts w:hint="eastAsia" w:ascii="宋体" w:hAnsi="宋体" w:eastAsia="宋体" w:cs="宋体"/>
                <w:b w:val="0"/>
                <w:bCs w:val="0"/>
                <w:color w:val="000000"/>
                <w:kern w:val="0"/>
                <w:sz w:val="24"/>
                <w:szCs w:val="24"/>
                <w:highlight w:val="none"/>
              </w:rPr>
              <w:t>为获取更多必要的知识采用工作经验总结、顾客意见的采集，行业领先者的最佳实践调查等。主要是从顾客满意度调查收集的顾客抱怨、反馈等知识。</w:t>
            </w:r>
          </w:p>
        </w:tc>
        <w:tc>
          <w:tcPr>
            <w:tcW w:w="1585" w:type="dxa"/>
          </w:tcPr>
          <w:p>
            <w:pPr>
              <w:spacing w:line="360" w:lineRule="auto"/>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1" w:hRule="atLeast"/>
        </w:trPr>
        <w:tc>
          <w:tcPr>
            <w:tcW w:w="2122" w:type="dxa"/>
            <w:vAlign w:val="center"/>
          </w:tcPr>
          <w:p>
            <w:pPr>
              <w:spacing w:line="360" w:lineRule="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沟通、参与和协商</w:t>
            </w:r>
          </w:p>
        </w:tc>
        <w:tc>
          <w:tcPr>
            <w:tcW w:w="998" w:type="dxa"/>
            <w:vAlign w:val="center"/>
          </w:tcPr>
          <w:p>
            <w:pPr>
              <w:spacing w:line="360" w:lineRule="auto"/>
              <w:rPr>
                <w:rFonts w:hint="eastAsia" w:ascii="宋体" w:hAnsi="宋体" w:eastAsia="宋体" w:cs="宋体"/>
                <w:b w:val="0"/>
                <w:bCs w:val="0"/>
                <w:sz w:val="24"/>
                <w:szCs w:val="24"/>
              </w:rPr>
            </w:pP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Q7.4</w:t>
            </w:r>
          </w:p>
          <w:p>
            <w:pPr>
              <w:pStyle w:val="2"/>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J5.2.3</w:t>
            </w:r>
          </w:p>
          <w:p>
            <w:pPr>
              <w:spacing w:line="360" w:lineRule="auto"/>
              <w:rPr>
                <w:rFonts w:hint="eastAsia" w:ascii="宋体" w:hAnsi="宋体" w:eastAsia="宋体" w:cs="宋体"/>
                <w:b w:val="0"/>
                <w:bCs w:val="0"/>
                <w:kern w:val="2"/>
                <w:sz w:val="24"/>
                <w:szCs w:val="24"/>
                <w:lang w:val="en-US" w:eastAsia="zh-CN" w:bidi="ar-SA"/>
              </w:rPr>
            </w:pPr>
          </w:p>
        </w:tc>
        <w:tc>
          <w:tcPr>
            <w:tcW w:w="10004" w:type="dxa"/>
            <w:vAlign w:val="center"/>
          </w:tcPr>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策划编制的程序文件《</w:t>
            </w:r>
            <w:r>
              <w:rPr>
                <w:rFonts w:hint="eastAsia" w:ascii="宋体" w:hAnsi="宋体" w:eastAsia="宋体" w:cs="宋体"/>
                <w:b w:val="0"/>
                <w:bCs w:val="0"/>
                <w:spacing w:val="-20"/>
                <w:sz w:val="24"/>
                <w:szCs w:val="24"/>
              </w:rPr>
              <w:t>协商、沟通和信息交流管理程序</w:t>
            </w:r>
            <w:r>
              <w:rPr>
                <w:rFonts w:hint="eastAsia" w:ascii="宋体" w:hAnsi="宋体" w:eastAsia="宋体" w:cs="宋体"/>
                <w:b w:val="0"/>
                <w:bCs w:val="0"/>
                <w:sz w:val="24"/>
                <w:szCs w:val="24"/>
              </w:rPr>
              <w:t>》及管理手册的相关章节规定了企业内、外部沟通和员工就职业健康安全事务参与、协商的要求，经查阅和交谈符合标准要求。</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总经理负责在公司建立畅通的沟通渠道。管理者代表是公司内部和外部信息交流和沟通的负责人。行政部是公司内部和外部信息交流和协商的归口行政部。负责与上级主管部门及周边单位的信息交流；负责与管理体系、法律法规等有关的内部和外部信息交流；负责与采购供方、客户等相关方之间的沟通。工程部负责施工现场沟通。各部门收集到有关职业健康安全方面的信息，包括法律法规等，及时向行政部反馈。经营部负责顾客要求方面的有关事宜的沟通。</w:t>
            </w:r>
          </w:p>
          <w:p>
            <w:pPr>
              <w:spacing w:line="360" w:lineRule="auto"/>
              <w:ind w:firstLine="480" w:firstLineChars="200"/>
              <w:rPr>
                <w:rFonts w:hint="eastAsia" w:ascii="宋体" w:hAnsi="宋体" w:eastAsia="宋体" w:cs="宋体"/>
                <w:b w:val="0"/>
                <w:bCs w:val="0"/>
                <w:color w:val="FF0000"/>
                <w:kern w:val="2"/>
                <w:sz w:val="24"/>
                <w:szCs w:val="24"/>
                <w:lang w:val="en-US" w:eastAsia="zh-CN" w:bidi="ar-SA"/>
              </w:rPr>
            </w:pPr>
            <w:r>
              <w:rPr>
                <w:rFonts w:hint="eastAsia" w:ascii="宋体" w:hAnsi="宋体" w:eastAsia="宋体" w:cs="宋体"/>
                <w:b w:val="0"/>
                <w:bCs w:val="0"/>
                <w:sz w:val="24"/>
                <w:szCs w:val="24"/>
              </w:rPr>
              <w:t>目前各项沟通都较为及时、顺畅、效果较好。</w:t>
            </w:r>
          </w:p>
        </w:tc>
        <w:tc>
          <w:tcPr>
            <w:tcW w:w="1585" w:type="dxa"/>
          </w:tcPr>
          <w:p>
            <w:pPr>
              <w:spacing w:line="360" w:lineRule="auto"/>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vAlign w:val="center"/>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组织的知识、文件化信息</w:t>
            </w:r>
          </w:p>
        </w:tc>
        <w:tc>
          <w:tcPr>
            <w:tcW w:w="998" w:type="dxa"/>
            <w:vAlign w:val="center"/>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Q7.5</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J3.5</w:t>
            </w:r>
          </w:p>
          <w:p>
            <w:pPr>
              <w:pStyle w:val="2"/>
              <w:spacing w:line="360" w:lineRule="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pacing w:val="0"/>
                <w:sz w:val="24"/>
                <w:szCs w:val="24"/>
              </w:rPr>
              <w:t>J10.5.4</w:t>
            </w:r>
          </w:p>
        </w:tc>
        <w:tc>
          <w:tcPr>
            <w:tcW w:w="10004" w:type="dxa"/>
            <w:vAlign w:val="center"/>
          </w:tcPr>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公司形成了文件化的管理手册、程序文件、管理制度以及所要求的记录。公司编制的程序文件基本符合标准要求的所有程序文件，对体系及其相互关系在手册中做了描述，记录表单满足公司目前的质量体系运行的需要。</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公司文件分类：一级文件：管理手册。</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二级文件：公司编制了程序文件，包括质量、环境、职业健康安全标准要求的所有程序。</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三层次文件：管理制度，外来文件：包括</w:t>
            </w:r>
            <w:r>
              <w:rPr>
                <w:rFonts w:hint="eastAsia" w:ascii="宋体" w:hAnsi="宋体" w:eastAsia="宋体" w:cs="宋体"/>
                <w:b w:val="0"/>
                <w:bCs w:val="0"/>
                <w:sz w:val="24"/>
                <w:szCs w:val="24"/>
                <w:lang w:val="en-US" w:eastAsia="zh-CN"/>
              </w:rPr>
              <w:t>建筑机电安装工程、电子与智能化工程、防雷工程的施工、通信工程施工、仪器仪表，电子产品（建筑智能化系统工程产品）、机电产品（机电设备安装工程产品）的销售管理实施细则等</w:t>
            </w:r>
            <w:r>
              <w:rPr>
                <w:rFonts w:hint="eastAsia" w:ascii="宋体" w:hAnsi="宋体" w:eastAsia="宋体" w:cs="宋体"/>
                <w:b w:val="0"/>
                <w:bCs w:val="0"/>
                <w:sz w:val="24"/>
                <w:szCs w:val="24"/>
              </w:rPr>
              <w:t>，环境、职业健康安全及运行记录，满足公司目前的管理体系运行的需要。体系文件基本能保证有效性和效率的要求。</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查公司按照文审要求对管理手册进行了修改，符合要求。</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公司编制并实施了《文件控制程序》，文件包括：管理手册、程序文件、各种管理制度等。</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无企业标准。</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查管理手册、程序文件等文件，编制：文件编制小组，审核：</w:t>
            </w:r>
            <w:r>
              <w:rPr>
                <w:rFonts w:hint="eastAsia" w:ascii="宋体" w:hAnsi="宋体" w:eastAsia="宋体" w:cs="宋体"/>
                <w:b w:val="0"/>
                <w:bCs w:val="0"/>
                <w:sz w:val="24"/>
                <w:szCs w:val="24"/>
                <w:lang w:eastAsia="zh-CN"/>
              </w:rPr>
              <w:t>李苏燕</w:t>
            </w:r>
            <w:r>
              <w:rPr>
                <w:rFonts w:hint="eastAsia" w:ascii="宋体" w:hAnsi="宋体" w:eastAsia="宋体" w:cs="宋体"/>
                <w:b w:val="0"/>
                <w:bCs w:val="0"/>
                <w:sz w:val="24"/>
                <w:szCs w:val="24"/>
              </w:rPr>
              <w:t>，批准：周东福，20</w:t>
            </w:r>
            <w:r>
              <w:rPr>
                <w:rFonts w:hint="eastAsia" w:ascii="宋体" w:hAnsi="宋体" w:eastAsia="宋体" w:cs="宋体"/>
                <w:b w:val="0"/>
                <w:bCs w:val="0"/>
                <w:sz w:val="24"/>
                <w:szCs w:val="24"/>
                <w:lang w:val="en-US" w:eastAsia="zh-CN"/>
              </w:rPr>
              <w:t>20</w:t>
            </w:r>
            <w:r>
              <w:rPr>
                <w:rFonts w:hint="eastAsia" w:ascii="宋体" w:hAnsi="宋体" w:eastAsia="宋体" w:cs="宋体"/>
                <w:b w:val="0"/>
                <w:bCs w:val="0"/>
                <w:sz w:val="24"/>
                <w:szCs w:val="24"/>
              </w:rPr>
              <w:t>年</w:t>
            </w:r>
            <w:r>
              <w:rPr>
                <w:rFonts w:hint="eastAsia" w:ascii="宋体" w:hAnsi="宋体" w:eastAsia="宋体" w:cs="宋体"/>
                <w:b w:val="0"/>
                <w:bCs w:val="0"/>
                <w:sz w:val="24"/>
                <w:szCs w:val="24"/>
                <w:lang w:val="en-US" w:eastAsia="zh-CN"/>
              </w:rPr>
              <w:t>9</w:t>
            </w:r>
            <w:r>
              <w:rPr>
                <w:rFonts w:hint="eastAsia" w:ascii="宋体" w:hAnsi="宋体" w:eastAsia="宋体" w:cs="宋体"/>
                <w:b w:val="0"/>
                <w:bCs w:val="0"/>
                <w:sz w:val="24"/>
                <w:szCs w:val="24"/>
              </w:rPr>
              <w:t>月</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日，查文件编审批手续齐全、文件清晰、编号符合文件控制程序要求。查</w:t>
            </w: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文件，都有受控标识，有效版本。</w:t>
            </w:r>
          </w:p>
          <w:p>
            <w:pPr>
              <w:spacing w:line="360" w:lineRule="auto"/>
              <w:ind w:firstLine="480" w:firstLineChars="200"/>
              <w:rPr>
                <w:rFonts w:hint="eastAsia" w:ascii="宋体" w:hAnsi="宋体" w:eastAsia="宋体" w:cs="宋体"/>
                <w:b w:val="0"/>
                <w:bCs w:val="0"/>
                <w:color w:val="FF0000"/>
                <w:sz w:val="24"/>
                <w:szCs w:val="24"/>
              </w:rPr>
            </w:pPr>
            <w:r>
              <w:rPr>
                <w:rFonts w:hint="eastAsia" w:ascii="宋体" w:hAnsi="宋体" w:eastAsia="宋体" w:cs="宋体"/>
                <w:b w:val="0"/>
                <w:bCs w:val="0"/>
                <w:sz w:val="24"/>
                <w:szCs w:val="24"/>
              </w:rPr>
              <w:t>查外来文件：与产品要求和质量、环境、职业健康安全管理体系运行有关的国家法律法规、标准等；行业、地方颁布的条例、标准、规范、规程、办法等，查外来文件具体有质量管理体系标准、产品国家标准、环境管理体系标准、职业健康安全管理体系标准等。</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查文件发放：</w:t>
            </w: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20</w:t>
            </w:r>
            <w:r>
              <w:rPr>
                <w:rFonts w:hint="eastAsia" w:ascii="宋体" w:hAnsi="宋体" w:eastAsia="宋体" w:cs="宋体"/>
                <w:b w:val="0"/>
                <w:bCs w:val="0"/>
                <w:sz w:val="24"/>
                <w:szCs w:val="24"/>
                <w:lang w:val="en-US" w:eastAsia="zh-CN"/>
              </w:rPr>
              <w:t>20</w:t>
            </w:r>
            <w:r>
              <w:rPr>
                <w:rFonts w:hint="eastAsia" w:ascii="宋体" w:hAnsi="宋体" w:eastAsia="宋体" w:cs="宋体"/>
                <w:b w:val="0"/>
                <w:bCs w:val="0"/>
                <w:sz w:val="24"/>
                <w:szCs w:val="24"/>
              </w:rPr>
              <w:t>年</w:t>
            </w:r>
            <w:r>
              <w:rPr>
                <w:rFonts w:hint="eastAsia" w:ascii="宋体" w:hAnsi="宋体" w:eastAsia="宋体" w:cs="宋体"/>
                <w:b w:val="0"/>
                <w:bCs w:val="0"/>
                <w:sz w:val="24"/>
                <w:szCs w:val="24"/>
                <w:lang w:val="en-US" w:eastAsia="zh-CN"/>
              </w:rPr>
              <w:t>9</w:t>
            </w:r>
            <w:r>
              <w:rPr>
                <w:rFonts w:hint="eastAsia" w:ascii="宋体" w:hAnsi="宋体" w:eastAsia="宋体" w:cs="宋体"/>
                <w:b w:val="0"/>
                <w:bCs w:val="0"/>
                <w:sz w:val="24"/>
                <w:szCs w:val="24"/>
              </w:rPr>
              <w:t>月</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日下发了管理手册、程序文件、管理制度汇编等文件。</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查</w:t>
            </w: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文件有标识，检索方便，文件夹存放于文件柜内，防护符合要求。</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公司编制并实施了《记录控制程序》对管理体系记录的标识、贮存、保护、检索、保存期限和处置等作了明确规定，符合要求。公司提供《记录一览表》—有内审报告、供方评价表、采购清单、管理评审报告等记录。明确了记录名称、编号、使用保存部门、保存期限等，并经审核后使用。公司各种记录由各使用部门保存，查阅</w:t>
            </w: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保存的记录环境情况，归档文件、记录存放于通风、干燥、防蛀的文件柜内，环境干燥、通风，符合文件归档的要求。</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抽查归档文件整理情况，</w:t>
            </w: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已将文件进行了分类，按文件的名称、编号及时间装文件袋进行归档，文件较清洁，字迹清晰，检索方便，抽查有内部审核资料、管理评审资料等，均已装订成册。</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外来记录（如顾客投诉记录等）由相关部门负责保管、归档。</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原件记录原则上不外借，其它记录查阅时须有关部门同意后，方可查阅。</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上次审核至今未发生变更，</w:t>
            </w:r>
            <w:r>
              <w:rPr>
                <w:rFonts w:hint="eastAsia" w:ascii="宋体" w:hAnsi="宋体" w:eastAsia="宋体" w:cs="宋体"/>
                <w:b w:val="0"/>
                <w:bCs w:val="0"/>
                <w:sz w:val="24"/>
                <w:szCs w:val="24"/>
              </w:rPr>
              <w:t>记录控制基本有效。</w:t>
            </w:r>
          </w:p>
        </w:tc>
        <w:tc>
          <w:tcPr>
            <w:tcW w:w="1585" w:type="dxa"/>
            <w:vAlign w:val="top"/>
          </w:tcPr>
          <w:p>
            <w:pPr>
              <w:spacing w:line="360" w:lineRule="auto"/>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vAlign w:val="center"/>
          </w:tcPr>
          <w:p>
            <w:pPr>
              <w:spacing w:line="360" w:lineRule="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sz w:val="24"/>
                <w:szCs w:val="24"/>
              </w:rPr>
              <w:t>内部审核</w:t>
            </w:r>
          </w:p>
        </w:tc>
        <w:tc>
          <w:tcPr>
            <w:tcW w:w="998" w:type="dxa"/>
            <w:vAlign w:val="center"/>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Q9.2</w:t>
            </w:r>
          </w:p>
          <w:p>
            <w:pPr>
              <w:spacing w:line="360" w:lineRule="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sz w:val="24"/>
                <w:szCs w:val="24"/>
              </w:rPr>
              <w:t>J12.2</w:t>
            </w:r>
          </w:p>
        </w:tc>
        <w:tc>
          <w:tcPr>
            <w:tcW w:w="10004" w:type="dxa"/>
            <w:vAlign w:val="center"/>
          </w:tcPr>
          <w:p>
            <w:pPr>
              <w:spacing w:line="360" w:lineRule="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编制了《内部审核</w:t>
            </w:r>
            <w:r>
              <w:rPr>
                <w:rFonts w:hint="eastAsia" w:ascii="宋体" w:hAnsi="宋体" w:eastAsia="宋体" w:cs="宋体"/>
                <w:b w:val="0"/>
                <w:bCs w:val="0"/>
                <w:sz w:val="24"/>
                <w:szCs w:val="24"/>
                <w:u w:val="none"/>
                <w:lang w:val="en-US" w:eastAsia="zh-CN"/>
              </w:rPr>
              <w:t>控制</w:t>
            </w:r>
            <w:r>
              <w:rPr>
                <w:rFonts w:hint="eastAsia" w:ascii="宋体" w:hAnsi="宋体" w:eastAsia="宋体" w:cs="宋体"/>
                <w:b w:val="0"/>
                <w:bCs w:val="0"/>
                <w:sz w:val="24"/>
                <w:szCs w:val="24"/>
                <w:u w:val="none"/>
              </w:rPr>
              <w:t>程序》，由管代定期组织每年进行一次内审，间隔不超过12月份，全体内审员参加。</w:t>
            </w:r>
          </w:p>
          <w:p>
            <w:pPr>
              <w:spacing w:line="360" w:lineRule="auto"/>
              <w:ind w:firstLine="480" w:firstLineChars="200"/>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依据GB/T 19001-2016、</w:t>
            </w:r>
            <w:r>
              <w:rPr>
                <w:rFonts w:hint="eastAsia" w:ascii="宋体" w:hAnsi="宋体" w:eastAsia="宋体" w:cs="宋体"/>
                <w:b w:val="0"/>
                <w:bCs w:val="0"/>
                <w:sz w:val="24"/>
                <w:szCs w:val="24"/>
              </w:rPr>
              <w:t>GB/T 50430-2017</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u w:val="none"/>
              </w:rPr>
              <w:t>GB/T 24001-2016、GB/T 45001-2020标准、体系文件、相关法律法规等.</w:t>
            </w:r>
          </w:p>
          <w:p>
            <w:pPr>
              <w:spacing w:line="360" w:lineRule="auto"/>
              <w:ind w:firstLine="480" w:firstLineChars="200"/>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提供《202</w:t>
            </w:r>
            <w:r>
              <w:rPr>
                <w:rFonts w:hint="eastAsia" w:ascii="宋体" w:hAnsi="宋体" w:eastAsia="宋体" w:cs="宋体"/>
                <w:b w:val="0"/>
                <w:bCs w:val="0"/>
                <w:sz w:val="24"/>
                <w:szCs w:val="24"/>
                <w:u w:val="none"/>
                <w:lang w:val="en-US" w:eastAsia="zh-CN"/>
              </w:rPr>
              <w:t>1</w:t>
            </w:r>
            <w:r>
              <w:rPr>
                <w:rFonts w:hint="eastAsia" w:ascii="宋体" w:hAnsi="宋体" w:eastAsia="宋体" w:cs="宋体"/>
                <w:b w:val="0"/>
                <w:bCs w:val="0"/>
                <w:sz w:val="24"/>
                <w:szCs w:val="24"/>
                <w:u w:val="none"/>
              </w:rPr>
              <w:t>年度内部审核计划》，内审安排1次。明确审核目的、范围、依据、日期（202</w:t>
            </w:r>
            <w:r>
              <w:rPr>
                <w:rFonts w:hint="eastAsia" w:ascii="宋体" w:hAnsi="宋体" w:eastAsia="宋体" w:cs="宋体"/>
                <w:b w:val="0"/>
                <w:bCs w:val="0"/>
                <w:sz w:val="24"/>
                <w:szCs w:val="24"/>
                <w:u w:val="none"/>
                <w:lang w:val="en-US" w:eastAsia="zh-CN"/>
              </w:rPr>
              <w:t>1</w:t>
            </w:r>
            <w:r>
              <w:rPr>
                <w:rFonts w:hint="eastAsia" w:ascii="宋体" w:hAnsi="宋体" w:eastAsia="宋体" w:cs="宋体"/>
                <w:b w:val="0"/>
                <w:bCs w:val="0"/>
                <w:sz w:val="24"/>
                <w:szCs w:val="24"/>
                <w:u w:val="none"/>
              </w:rPr>
              <w:t>.</w:t>
            </w:r>
            <w:r>
              <w:rPr>
                <w:rFonts w:hint="eastAsia" w:ascii="宋体" w:hAnsi="宋体" w:eastAsia="宋体" w:cs="宋体"/>
                <w:b w:val="0"/>
                <w:bCs w:val="0"/>
                <w:sz w:val="24"/>
                <w:szCs w:val="24"/>
                <w:u w:val="none"/>
                <w:lang w:val="en-US" w:eastAsia="zh-CN"/>
              </w:rPr>
              <w:t>12.1</w:t>
            </w:r>
            <w:r>
              <w:rPr>
                <w:rFonts w:hint="eastAsia" w:ascii="宋体" w:hAnsi="宋体" w:eastAsia="宋体" w:cs="宋体"/>
                <w:b w:val="0"/>
                <w:bCs w:val="0"/>
                <w:sz w:val="24"/>
                <w:szCs w:val="24"/>
                <w:u w:val="none"/>
              </w:rPr>
              <w:t>），编制:</w:t>
            </w:r>
            <w:r>
              <w:rPr>
                <w:rFonts w:hint="eastAsia" w:ascii="宋体" w:hAnsi="宋体" w:eastAsia="宋体" w:cs="宋体"/>
                <w:b w:val="0"/>
                <w:bCs w:val="0"/>
                <w:sz w:val="24"/>
                <w:szCs w:val="24"/>
                <w:u w:val="none"/>
                <w:lang w:val="en-US" w:eastAsia="zh-CN"/>
              </w:rPr>
              <w:t>李苏燕</w:t>
            </w:r>
            <w:r>
              <w:rPr>
                <w:rFonts w:hint="eastAsia" w:ascii="宋体" w:hAnsi="宋体" w:eastAsia="宋体" w:cs="宋体"/>
                <w:b w:val="0"/>
                <w:bCs w:val="0"/>
                <w:sz w:val="24"/>
                <w:szCs w:val="24"/>
                <w:u w:val="none"/>
              </w:rPr>
              <w:t xml:space="preserve">  审批：</w:t>
            </w:r>
            <w:r>
              <w:rPr>
                <w:rFonts w:hint="eastAsia" w:ascii="宋体" w:hAnsi="宋体" w:eastAsia="宋体" w:cs="宋体"/>
                <w:b w:val="0"/>
                <w:bCs w:val="0"/>
                <w:sz w:val="24"/>
                <w:szCs w:val="24"/>
                <w:u w:val="none"/>
                <w:lang w:val="en-US" w:eastAsia="zh-CN"/>
              </w:rPr>
              <w:t>周东福</w:t>
            </w:r>
            <w:r>
              <w:rPr>
                <w:rFonts w:hint="eastAsia" w:ascii="宋体" w:hAnsi="宋体" w:eastAsia="宋体" w:cs="宋体"/>
                <w:b w:val="0"/>
                <w:bCs w:val="0"/>
                <w:sz w:val="24"/>
                <w:szCs w:val="24"/>
                <w:u w:val="none"/>
              </w:rPr>
              <w:t>。</w:t>
            </w:r>
          </w:p>
          <w:p>
            <w:pPr>
              <w:spacing w:line="360" w:lineRule="auto"/>
              <w:ind w:firstLine="480" w:firstLineChars="200"/>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提供QEO《审核实施计划》；内部审核计划日程安排：202</w:t>
            </w:r>
            <w:r>
              <w:rPr>
                <w:rFonts w:hint="eastAsia" w:ascii="宋体" w:hAnsi="宋体" w:eastAsia="宋体" w:cs="宋体"/>
                <w:b w:val="0"/>
                <w:bCs w:val="0"/>
                <w:sz w:val="24"/>
                <w:szCs w:val="24"/>
                <w:u w:val="none"/>
                <w:lang w:val="en-US" w:eastAsia="zh-CN"/>
              </w:rPr>
              <w:t>1</w:t>
            </w:r>
            <w:r>
              <w:rPr>
                <w:rFonts w:hint="eastAsia" w:ascii="宋体" w:hAnsi="宋体" w:eastAsia="宋体" w:cs="宋体"/>
                <w:b w:val="0"/>
                <w:bCs w:val="0"/>
                <w:sz w:val="24"/>
                <w:szCs w:val="24"/>
                <w:u w:val="none"/>
              </w:rPr>
              <w:t>.</w:t>
            </w:r>
            <w:r>
              <w:rPr>
                <w:rFonts w:hint="eastAsia" w:ascii="宋体" w:hAnsi="宋体" w:eastAsia="宋体" w:cs="宋体"/>
                <w:b w:val="0"/>
                <w:bCs w:val="0"/>
                <w:sz w:val="24"/>
                <w:szCs w:val="24"/>
                <w:u w:val="none"/>
                <w:lang w:val="en-US" w:eastAsia="zh-CN"/>
              </w:rPr>
              <w:t>12</w:t>
            </w:r>
            <w:r>
              <w:rPr>
                <w:rFonts w:hint="eastAsia" w:ascii="宋体" w:hAnsi="宋体" w:eastAsia="宋体" w:cs="宋体"/>
                <w:b w:val="0"/>
                <w:bCs w:val="0"/>
                <w:sz w:val="24"/>
                <w:szCs w:val="24"/>
                <w:u w:val="none"/>
              </w:rPr>
              <w:t>.</w:t>
            </w:r>
            <w:r>
              <w:rPr>
                <w:rFonts w:hint="eastAsia" w:ascii="宋体" w:hAnsi="宋体" w:eastAsia="宋体" w:cs="宋体"/>
                <w:b w:val="0"/>
                <w:bCs w:val="0"/>
                <w:sz w:val="24"/>
                <w:szCs w:val="24"/>
                <w:u w:val="none"/>
                <w:lang w:val="en-US" w:eastAsia="zh-CN"/>
              </w:rPr>
              <w:t>5</w:t>
            </w:r>
            <w:r>
              <w:rPr>
                <w:rFonts w:hint="eastAsia" w:ascii="宋体" w:hAnsi="宋体" w:eastAsia="宋体" w:cs="宋体"/>
                <w:b w:val="0"/>
                <w:bCs w:val="0"/>
                <w:sz w:val="24"/>
                <w:szCs w:val="24"/>
                <w:u w:val="none"/>
              </w:rPr>
              <w:t>-</w:t>
            </w:r>
            <w:r>
              <w:rPr>
                <w:rFonts w:hint="eastAsia" w:ascii="宋体" w:hAnsi="宋体" w:eastAsia="宋体" w:cs="宋体"/>
                <w:b w:val="0"/>
                <w:bCs w:val="0"/>
                <w:sz w:val="24"/>
                <w:szCs w:val="24"/>
                <w:u w:val="none"/>
                <w:lang w:val="en-US" w:eastAsia="zh-CN"/>
              </w:rPr>
              <w:t>6</w:t>
            </w:r>
            <w:r>
              <w:rPr>
                <w:rFonts w:hint="eastAsia" w:ascii="宋体" w:hAnsi="宋体" w:eastAsia="宋体" w:cs="宋体"/>
                <w:b w:val="0"/>
                <w:bCs w:val="0"/>
                <w:sz w:val="24"/>
                <w:szCs w:val="24"/>
                <w:u w:val="none"/>
              </w:rPr>
              <w:t>，组长：李苏燕，组员：魏少丹，有培训记录和总经理的任命书；</w:t>
            </w:r>
          </w:p>
          <w:p>
            <w:pPr>
              <w:spacing w:line="360" w:lineRule="auto"/>
              <w:ind w:firstLine="480" w:firstLineChars="200"/>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审核目的、依据、范围和方法及审核安排，计划覆盖的部门或条款基本齐全，查看内审相关资料，内部质量管理体系审核实施，共有</w:t>
            </w:r>
            <w:r>
              <w:rPr>
                <w:rFonts w:hint="eastAsia" w:ascii="宋体" w:hAnsi="宋体" w:eastAsia="宋体" w:cs="宋体"/>
                <w:b w:val="0"/>
                <w:bCs w:val="0"/>
                <w:sz w:val="24"/>
                <w:szCs w:val="24"/>
                <w:u w:val="none"/>
                <w:lang w:val="en-US" w:eastAsia="zh-CN"/>
              </w:rPr>
              <w:t>6</w:t>
            </w:r>
            <w:r>
              <w:rPr>
                <w:rFonts w:hint="eastAsia" w:ascii="宋体" w:hAnsi="宋体" w:eastAsia="宋体" w:cs="宋体"/>
                <w:b w:val="0"/>
                <w:bCs w:val="0"/>
                <w:sz w:val="24"/>
                <w:szCs w:val="24"/>
                <w:u w:val="none"/>
              </w:rPr>
              <w:t>人参加会议，其中：包括总经理、体系推行人、各部门负责人（查参加部门、人员基本齐全），计划内容涉及各部门，条款覆盖整个体系，时间安排合理。同时考虑到互查的公正性，有签到表。</w:t>
            </w:r>
          </w:p>
          <w:p>
            <w:pPr>
              <w:spacing w:line="360" w:lineRule="auto"/>
              <w:ind w:firstLine="480" w:firstLineChars="200"/>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查《内审检查表》，有</w:t>
            </w:r>
            <w:r>
              <w:rPr>
                <w:rFonts w:hint="eastAsia" w:ascii="宋体" w:hAnsi="宋体" w:eastAsia="宋体" w:cs="宋体"/>
                <w:b w:val="0"/>
                <w:bCs w:val="0"/>
                <w:color w:val="000000"/>
                <w:sz w:val="24"/>
                <w:szCs w:val="24"/>
                <w:u w:val="none"/>
                <w:lang w:eastAsia="zh-CN"/>
              </w:rPr>
              <w:t>行政部</w:t>
            </w:r>
            <w:r>
              <w:rPr>
                <w:rFonts w:hint="eastAsia" w:ascii="宋体" w:hAnsi="宋体" w:eastAsia="宋体" w:cs="宋体"/>
                <w:b w:val="0"/>
                <w:bCs w:val="0"/>
                <w:color w:val="000000"/>
                <w:sz w:val="24"/>
                <w:szCs w:val="24"/>
                <w:u w:val="none"/>
              </w:rPr>
              <w:t>、</w:t>
            </w:r>
            <w:r>
              <w:rPr>
                <w:rFonts w:hint="eastAsia" w:ascii="宋体" w:hAnsi="宋体" w:eastAsia="宋体" w:cs="宋体"/>
                <w:b w:val="0"/>
                <w:bCs w:val="0"/>
                <w:color w:val="000000"/>
                <w:sz w:val="24"/>
                <w:szCs w:val="24"/>
                <w:u w:val="none"/>
                <w:lang w:val="en-US" w:eastAsia="zh-CN"/>
              </w:rPr>
              <w:t>市场部</w:t>
            </w:r>
            <w:r>
              <w:rPr>
                <w:rFonts w:hint="eastAsia" w:ascii="宋体" w:hAnsi="宋体" w:eastAsia="宋体" w:cs="宋体"/>
                <w:b w:val="0"/>
                <w:bCs w:val="0"/>
                <w:color w:val="000000"/>
                <w:sz w:val="24"/>
                <w:szCs w:val="24"/>
                <w:u w:val="none"/>
              </w:rPr>
              <w:t>、</w:t>
            </w:r>
            <w:r>
              <w:rPr>
                <w:rFonts w:hint="eastAsia" w:ascii="宋体" w:hAnsi="宋体" w:eastAsia="宋体" w:cs="宋体"/>
                <w:b w:val="0"/>
                <w:bCs w:val="0"/>
                <w:color w:val="000000"/>
                <w:sz w:val="24"/>
                <w:szCs w:val="24"/>
                <w:u w:val="none"/>
                <w:lang w:val="en-US" w:eastAsia="zh-CN"/>
              </w:rPr>
              <w:t>工程</w:t>
            </w:r>
            <w:r>
              <w:rPr>
                <w:rFonts w:hint="eastAsia" w:ascii="宋体" w:hAnsi="宋体" w:eastAsia="宋体" w:cs="宋体"/>
                <w:b w:val="0"/>
                <w:bCs w:val="0"/>
                <w:color w:val="000000"/>
                <w:sz w:val="24"/>
                <w:szCs w:val="24"/>
                <w:u w:val="none"/>
              </w:rPr>
              <w:t>部</w:t>
            </w:r>
            <w:r>
              <w:rPr>
                <w:rFonts w:hint="eastAsia" w:ascii="宋体" w:hAnsi="宋体" w:eastAsia="宋体" w:cs="宋体"/>
                <w:b w:val="0"/>
                <w:bCs w:val="0"/>
                <w:color w:val="000000"/>
                <w:sz w:val="24"/>
                <w:szCs w:val="24"/>
                <w:u w:val="none"/>
                <w:lang w:eastAsia="zh-CN"/>
              </w:rPr>
              <w:t>、</w:t>
            </w:r>
            <w:r>
              <w:rPr>
                <w:rFonts w:hint="eastAsia" w:ascii="宋体" w:hAnsi="宋体" w:eastAsia="宋体" w:cs="宋体"/>
                <w:b w:val="0"/>
                <w:bCs w:val="0"/>
                <w:color w:val="000000"/>
                <w:sz w:val="24"/>
                <w:szCs w:val="24"/>
                <w:u w:val="none"/>
                <w:lang w:val="en-US" w:eastAsia="zh-CN"/>
              </w:rPr>
              <w:t>管理层</w:t>
            </w:r>
            <w:r>
              <w:rPr>
                <w:rFonts w:hint="eastAsia" w:ascii="宋体" w:hAnsi="宋体" w:eastAsia="宋体" w:cs="宋体"/>
                <w:b w:val="0"/>
                <w:bCs w:val="0"/>
                <w:sz w:val="24"/>
                <w:szCs w:val="24"/>
                <w:u w:val="none"/>
              </w:rPr>
              <w:t>等部门的审核记录，条款与策划一致，记录真实、完整。包括QEO体系所有条款，没有遗漏。</w:t>
            </w:r>
          </w:p>
          <w:p>
            <w:pPr>
              <w:spacing w:line="360" w:lineRule="auto"/>
              <w:ind w:firstLine="480" w:firstLineChars="200"/>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查《不合格报告》本次开具不符合报告</w:t>
            </w:r>
            <w:r>
              <w:rPr>
                <w:rFonts w:hint="eastAsia" w:ascii="宋体" w:hAnsi="宋体" w:eastAsia="宋体" w:cs="宋体"/>
                <w:b w:val="0"/>
                <w:bCs w:val="0"/>
                <w:sz w:val="24"/>
                <w:szCs w:val="24"/>
                <w:u w:val="none"/>
                <w:lang w:val="en-US" w:eastAsia="zh-CN"/>
              </w:rPr>
              <w:t>1</w:t>
            </w:r>
            <w:r>
              <w:rPr>
                <w:rFonts w:hint="eastAsia" w:ascii="宋体" w:hAnsi="宋体" w:eastAsia="宋体" w:cs="宋体"/>
                <w:b w:val="0"/>
                <w:bCs w:val="0"/>
                <w:sz w:val="24"/>
                <w:szCs w:val="24"/>
                <w:u w:val="none"/>
              </w:rPr>
              <w:t>份。对于不符合项所采取的纠正等措施，各内审员逐一进行了验证。上述内容记录完整。</w:t>
            </w:r>
          </w:p>
          <w:p>
            <w:pPr>
              <w:spacing w:line="360" w:lineRule="auto"/>
              <w:ind w:firstLine="480" w:firstLineChars="200"/>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提供《内部审核报告》，结论： 公司建立的质量/环境/职业健康安全管理体系基本符合GB/T 19001-2016、</w:t>
            </w:r>
            <w:r>
              <w:rPr>
                <w:rFonts w:hint="eastAsia" w:ascii="宋体" w:hAnsi="宋体" w:eastAsia="宋体" w:cs="宋体"/>
                <w:b w:val="0"/>
                <w:bCs w:val="0"/>
                <w:sz w:val="24"/>
                <w:szCs w:val="24"/>
              </w:rPr>
              <w:t>GB/T 50430-2017</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u w:val="none"/>
              </w:rPr>
              <w:t>GB/T 24001-2016、GB/T 45001:2020标准要求。管理体系的运行是适宜的、充分的、有效的。</w:t>
            </w:r>
          </w:p>
          <w:p>
            <w:pPr>
              <w:spacing w:line="360" w:lineRule="auto"/>
              <w:ind w:firstLine="480" w:firstLineChars="0"/>
              <w:jc w:val="left"/>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sz w:val="24"/>
                <w:szCs w:val="24"/>
                <w:u w:val="none"/>
              </w:rPr>
              <w:t>查上述资料反映：能保留形成文件的信息，作为实施审核方案以及审核结果的证据。</w:t>
            </w:r>
          </w:p>
        </w:tc>
        <w:tc>
          <w:tcPr>
            <w:tcW w:w="1585" w:type="dxa"/>
            <w:vAlign w:val="top"/>
          </w:tcPr>
          <w:p>
            <w:pPr>
              <w:spacing w:line="360" w:lineRule="auto"/>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vAlign w:val="top"/>
          </w:tcPr>
          <w:p>
            <w:pPr>
              <w:spacing w:line="360" w:lineRule="auto"/>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绩效 总则</w:t>
            </w:r>
          </w:p>
          <w:p>
            <w:pPr>
              <w:spacing w:line="360" w:lineRule="auto"/>
              <w:ind w:firstLine="480" w:firstLineChars="200"/>
              <w:rPr>
                <w:rFonts w:hint="eastAsia" w:ascii="宋体" w:hAnsi="宋体" w:eastAsia="宋体" w:cs="宋体"/>
                <w:b w:val="0"/>
                <w:bCs w:val="0"/>
                <w:kern w:val="2"/>
                <w:sz w:val="24"/>
                <w:szCs w:val="24"/>
                <w:lang w:val="en-US" w:eastAsia="zh-CN" w:bidi="ar-SA"/>
              </w:rPr>
            </w:pPr>
          </w:p>
        </w:tc>
        <w:tc>
          <w:tcPr>
            <w:tcW w:w="998" w:type="dxa"/>
            <w:vAlign w:val="top"/>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Q</w:t>
            </w:r>
            <w:r>
              <w:rPr>
                <w:rFonts w:hint="eastAsia" w:ascii="宋体" w:hAnsi="宋体" w:eastAsia="宋体" w:cs="宋体"/>
                <w:b w:val="0"/>
                <w:bCs w:val="0"/>
                <w:sz w:val="24"/>
                <w:szCs w:val="24"/>
              </w:rPr>
              <w:t>9.1.1</w:t>
            </w:r>
          </w:p>
          <w:p>
            <w:pPr>
              <w:spacing w:line="360" w:lineRule="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J9.1.3</w:t>
            </w:r>
          </w:p>
        </w:tc>
        <w:tc>
          <w:tcPr>
            <w:tcW w:w="10004" w:type="dxa"/>
            <w:vAlign w:val="center"/>
          </w:tcPr>
          <w:p>
            <w:pPr>
              <w:spacing w:line="360" w:lineRule="auto"/>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eastAsia="zh-CN"/>
              </w:rPr>
              <w:t>行政部</w:t>
            </w:r>
            <w:r>
              <w:rPr>
                <w:rFonts w:hint="eastAsia" w:ascii="宋体" w:hAnsi="宋体" w:eastAsia="宋体" w:cs="宋体"/>
                <w:b w:val="0"/>
                <w:bCs w:val="0"/>
                <w:sz w:val="24"/>
                <w:szCs w:val="24"/>
              </w:rPr>
              <w:t>对管理体系的过程能力进行监视和测量，通过内审对管理体系运行的符合性和有效性进行监测，结论管理体系总体运行有效。详见审核9.2条款；通过管理评审对管理体系的充分性、有效性和适宜性作了肯定的评价。详见审核9.</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条款记录；通过目标考评，监测管理体系运行的有效性，提供了202</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年度的目标完成情况，公司及各部门的管理目标均能完成。</w:t>
            </w:r>
          </w:p>
        </w:tc>
        <w:tc>
          <w:tcPr>
            <w:tcW w:w="1585" w:type="dxa"/>
            <w:vAlign w:val="top"/>
          </w:tcPr>
          <w:p>
            <w:pPr>
              <w:spacing w:line="360" w:lineRule="auto"/>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vAlign w:val="top"/>
          </w:tcPr>
          <w:p>
            <w:pPr>
              <w:spacing w:line="360" w:lineRule="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分析与评价</w:t>
            </w:r>
          </w:p>
        </w:tc>
        <w:tc>
          <w:tcPr>
            <w:tcW w:w="998" w:type="dxa"/>
            <w:vAlign w:val="top"/>
          </w:tcPr>
          <w:p>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Q9.1.</w:t>
            </w:r>
            <w:r>
              <w:rPr>
                <w:rFonts w:hint="eastAsia" w:ascii="宋体" w:hAnsi="宋体" w:eastAsia="宋体" w:cs="宋体"/>
                <w:b w:val="0"/>
                <w:bCs w:val="0"/>
                <w:sz w:val="24"/>
                <w:szCs w:val="24"/>
                <w:lang w:val="en-US" w:eastAsia="zh-CN"/>
              </w:rPr>
              <w:t>3</w:t>
            </w:r>
          </w:p>
          <w:p>
            <w:pPr>
              <w:spacing w:line="360" w:lineRule="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J12.1、</w:t>
            </w:r>
          </w:p>
          <w:p>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2.</w:t>
            </w:r>
            <w:r>
              <w:rPr>
                <w:rFonts w:hint="eastAsia" w:ascii="宋体" w:hAnsi="宋体" w:eastAsia="宋体" w:cs="宋体"/>
                <w:b w:val="0"/>
                <w:bCs w:val="0"/>
                <w:sz w:val="24"/>
                <w:szCs w:val="24"/>
                <w:lang w:val="en-US" w:eastAsia="zh-CN"/>
              </w:rPr>
              <w:t>2</w:t>
            </w:r>
          </w:p>
        </w:tc>
        <w:tc>
          <w:tcPr>
            <w:tcW w:w="10004" w:type="dxa"/>
            <w:vAlign w:val="center"/>
          </w:tcPr>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经查：部门根据监视和测量获得的数据和信息，组织相关部门进行了分析评价。包括：对公司及各部门质量目标完成情见进行分析，确定</w:t>
            </w:r>
            <w:r>
              <w:rPr>
                <w:rFonts w:hint="eastAsia" w:ascii="宋体" w:hAnsi="宋体" w:eastAsia="宋体" w:cs="宋体"/>
                <w:b w:val="0"/>
                <w:bCs w:val="0"/>
                <w:sz w:val="24"/>
                <w:szCs w:val="24"/>
                <w:lang w:val="en-US" w:eastAsia="zh-CN"/>
              </w:rPr>
              <w:t>管理</w:t>
            </w:r>
            <w:r>
              <w:rPr>
                <w:rFonts w:hint="eastAsia" w:ascii="宋体" w:hAnsi="宋体" w:eastAsia="宋体" w:cs="宋体"/>
                <w:b w:val="0"/>
                <w:bCs w:val="0"/>
                <w:sz w:val="24"/>
                <w:szCs w:val="24"/>
              </w:rPr>
              <w:t>体系运行状况（见管理评审输入）；对顾客满意有关的信息进行了分析，以确定顾客满意程度（见</w:t>
            </w:r>
            <w:r>
              <w:rPr>
                <w:rFonts w:hint="eastAsia" w:ascii="宋体" w:hAnsi="宋体" w:eastAsia="宋体" w:cs="宋体"/>
                <w:b w:val="0"/>
                <w:bCs w:val="0"/>
                <w:sz w:val="24"/>
                <w:szCs w:val="24"/>
                <w:lang w:val="en-US" w:eastAsia="zh-CN"/>
              </w:rPr>
              <w:t>运营管理</w:t>
            </w:r>
            <w:r>
              <w:rPr>
                <w:rFonts w:hint="eastAsia" w:ascii="宋体" w:hAnsi="宋体" w:eastAsia="宋体" w:cs="宋体"/>
                <w:b w:val="0"/>
                <w:bCs w:val="0"/>
                <w:sz w:val="24"/>
                <w:szCs w:val="24"/>
                <w:lang w:eastAsia="zh-CN"/>
              </w:rPr>
              <w:t>部</w:t>
            </w:r>
            <w:r>
              <w:rPr>
                <w:rFonts w:hint="eastAsia" w:ascii="宋体" w:hAnsi="宋体" w:eastAsia="宋体" w:cs="宋体"/>
                <w:b w:val="0"/>
                <w:bCs w:val="0"/>
                <w:sz w:val="24"/>
                <w:szCs w:val="24"/>
              </w:rPr>
              <w:t>9.1.2）；</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对内部审核的有关信息和应对风险措施的有效性进行分析，以确定</w:t>
            </w:r>
            <w:r>
              <w:rPr>
                <w:rFonts w:hint="eastAsia" w:ascii="宋体" w:hAnsi="宋体" w:eastAsia="宋体" w:cs="宋体"/>
                <w:b w:val="0"/>
                <w:bCs w:val="0"/>
                <w:sz w:val="24"/>
                <w:szCs w:val="24"/>
                <w:lang w:val="en-US" w:eastAsia="zh-CN"/>
              </w:rPr>
              <w:t>管理</w:t>
            </w:r>
            <w:r>
              <w:rPr>
                <w:rFonts w:hint="eastAsia" w:ascii="宋体" w:hAnsi="宋体" w:eastAsia="宋体" w:cs="宋体"/>
                <w:b w:val="0"/>
                <w:bCs w:val="0"/>
                <w:sz w:val="24"/>
                <w:szCs w:val="24"/>
              </w:rPr>
              <w:t>管理体系的有效性（见</w:t>
            </w:r>
            <w:r>
              <w:rPr>
                <w:rFonts w:hint="eastAsia" w:ascii="宋体" w:hAnsi="宋体" w:eastAsia="宋体" w:cs="宋体"/>
                <w:b w:val="0"/>
                <w:bCs w:val="0"/>
                <w:sz w:val="24"/>
                <w:szCs w:val="24"/>
                <w:lang w:val="en-US" w:eastAsia="zh-CN"/>
              </w:rPr>
              <w:t>行政部</w:t>
            </w:r>
            <w:r>
              <w:rPr>
                <w:rFonts w:hint="eastAsia" w:ascii="宋体" w:hAnsi="宋体" w:eastAsia="宋体" w:cs="宋体"/>
                <w:b w:val="0"/>
                <w:bCs w:val="0"/>
                <w:sz w:val="24"/>
                <w:szCs w:val="24"/>
              </w:rPr>
              <w:t>9.2）。</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部门在汇总以上分析结果的基础上，分析针对风险和机遇所采取措施的有效性，积极寻找</w:t>
            </w:r>
            <w:r>
              <w:rPr>
                <w:rFonts w:hint="eastAsia" w:ascii="宋体" w:hAnsi="宋体" w:eastAsia="宋体" w:cs="宋体"/>
                <w:b w:val="0"/>
                <w:bCs w:val="0"/>
                <w:sz w:val="24"/>
                <w:szCs w:val="24"/>
                <w:lang w:val="en-US" w:eastAsia="zh-CN"/>
              </w:rPr>
              <w:t>管理</w:t>
            </w:r>
            <w:r>
              <w:rPr>
                <w:rFonts w:hint="eastAsia" w:ascii="宋体" w:hAnsi="宋体" w:eastAsia="宋体" w:cs="宋体"/>
                <w:b w:val="0"/>
                <w:bCs w:val="0"/>
                <w:sz w:val="24"/>
                <w:szCs w:val="24"/>
              </w:rPr>
              <w:t>管理体系持续改进的机会，通过管理评审会议的改进决策进行</w:t>
            </w:r>
            <w:r>
              <w:rPr>
                <w:rFonts w:hint="eastAsia" w:ascii="宋体" w:hAnsi="宋体" w:eastAsia="宋体" w:cs="宋体"/>
                <w:b w:val="0"/>
                <w:bCs w:val="0"/>
                <w:sz w:val="24"/>
                <w:szCs w:val="24"/>
                <w:lang w:val="en-US" w:eastAsia="zh-CN"/>
              </w:rPr>
              <w:t>管理</w:t>
            </w:r>
            <w:r>
              <w:rPr>
                <w:rFonts w:hint="eastAsia" w:ascii="宋体" w:hAnsi="宋体" w:eastAsia="宋体" w:cs="宋体"/>
                <w:b w:val="0"/>
                <w:bCs w:val="0"/>
                <w:sz w:val="24"/>
                <w:szCs w:val="24"/>
              </w:rPr>
              <w:t>管理体系的持续改进（见相关部门检查表）。</w:t>
            </w:r>
          </w:p>
        </w:tc>
        <w:tc>
          <w:tcPr>
            <w:tcW w:w="1585" w:type="dxa"/>
            <w:vAlign w:val="top"/>
          </w:tcPr>
          <w:p>
            <w:pPr>
              <w:spacing w:line="360" w:lineRule="auto"/>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22" w:type="dxa"/>
            <w:vAlign w:val="top"/>
          </w:tcPr>
          <w:p>
            <w:pPr>
              <w:spacing w:line="360" w:lineRule="auto"/>
              <w:rPr>
                <w:rFonts w:hint="eastAsia" w:ascii="宋体" w:hAnsi="宋体" w:eastAsia="宋体" w:cs="宋体"/>
                <w:b w:val="0"/>
                <w:bCs w:val="0"/>
                <w:sz w:val="24"/>
                <w:szCs w:val="24"/>
                <w:u w:val="none"/>
              </w:rPr>
            </w:pPr>
            <w:r>
              <w:rPr>
                <w:rFonts w:hint="eastAsia" w:ascii="宋体" w:hAnsi="宋体" w:eastAsia="宋体" w:cs="宋体"/>
                <w:b w:val="0"/>
                <w:bCs w:val="0"/>
                <w:sz w:val="24"/>
                <w:szCs w:val="24"/>
              </w:rPr>
              <w:t>不符合/事件和纠正措施</w:t>
            </w:r>
          </w:p>
        </w:tc>
        <w:tc>
          <w:tcPr>
            <w:tcW w:w="998" w:type="dxa"/>
            <w:vAlign w:val="top"/>
          </w:tcPr>
          <w:p>
            <w:pPr>
              <w:spacing w:line="360" w:lineRule="auto"/>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QEO</w:t>
            </w:r>
            <w:r>
              <w:rPr>
                <w:rFonts w:hint="eastAsia" w:ascii="宋体" w:hAnsi="宋体" w:eastAsia="宋体" w:cs="宋体"/>
                <w:b w:val="0"/>
                <w:bCs w:val="0"/>
                <w:sz w:val="24"/>
                <w:szCs w:val="24"/>
                <w:u w:val="none"/>
                <w:lang w:val="en-US" w:eastAsia="zh-CN"/>
              </w:rPr>
              <w:t>10</w:t>
            </w:r>
            <w:r>
              <w:rPr>
                <w:rFonts w:hint="eastAsia" w:ascii="宋体" w:hAnsi="宋体" w:eastAsia="宋体" w:cs="宋体"/>
                <w:b w:val="0"/>
                <w:bCs w:val="0"/>
                <w:sz w:val="24"/>
                <w:szCs w:val="24"/>
                <w:u w:val="none"/>
              </w:rPr>
              <w:t>.2</w:t>
            </w:r>
          </w:p>
        </w:tc>
        <w:tc>
          <w:tcPr>
            <w:tcW w:w="10004" w:type="dxa"/>
            <w:vAlign w:val="center"/>
          </w:tcPr>
          <w:p>
            <w:pPr>
              <w:spacing w:line="360" w:lineRule="auto"/>
              <w:ind w:firstLine="480" w:firstLineChars="0"/>
              <w:jc w:val="left"/>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查：公司编制有</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不符合控制程序</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《纠正措施控制程序》</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预防措施控制程序</w:t>
            </w:r>
            <w:r>
              <w:rPr>
                <w:rFonts w:hint="eastAsia" w:ascii="宋体" w:hAnsi="宋体" w:eastAsia="宋体" w:cs="宋体"/>
                <w:b w:val="0"/>
                <w:bCs w:val="0"/>
                <w:sz w:val="24"/>
                <w:szCs w:val="24"/>
                <w:u w:val="none"/>
                <w:lang w:eastAsia="zh-CN"/>
              </w:rPr>
              <w:t>》</w:t>
            </w:r>
            <w:r>
              <w:rPr>
                <w:rFonts w:hint="eastAsia" w:ascii="宋体" w:hAnsi="宋体" w:eastAsia="宋体" w:cs="宋体"/>
                <w:b w:val="0"/>
                <w:bCs w:val="0"/>
                <w:sz w:val="24"/>
                <w:szCs w:val="24"/>
                <w:u w:val="none"/>
              </w:rPr>
              <w:t>，规定了发现不合格应采取纠正措施的具体要求，并按要求进行了控制。</w:t>
            </w:r>
          </w:p>
          <w:p>
            <w:pPr>
              <w:spacing w:line="360" w:lineRule="auto"/>
              <w:ind w:firstLine="480" w:firstLineChars="0"/>
              <w:jc w:val="left"/>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抽查内审《不符合报告》，针对内审中发现的不合格事实，责任部门进行了原因分析，制定了纠正措施并实施，涉及</w:t>
            </w:r>
            <w:r>
              <w:rPr>
                <w:rFonts w:hint="eastAsia" w:ascii="宋体" w:hAnsi="宋体" w:eastAsia="宋体" w:cs="宋体"/>
                <w:b w:val="0"/>
                <w:bCs w:val="0"/>
                <w:sz w:val="24"/>
                <w:szCs w:val="24"/>
                <w:u w:val="none"/>
                <w:lang w:val="en-US" w:eastAsia="zh-CN"/>
              </w:rPr>
              <w:t>行政部7.2条</w:t>
            </w:r>
            <w:r>
              <w:rPr>
                <w:rFonts w:hint="eastAsia" w:ascii="宋体" w:hAnsi="宋体" w:eastAsia="宋体" w:cs="宋体"/>
                <w:b w:val="0"/>
                <w:bCs w:val="0"/>
                <w:sz w:val="24"/>
                <w:szCs w:val="24"/>
                <w:u w:val="none"/>
              </w:rPr>
              <w:t>款的不符合项，经验证整改有效。</w:t>
            </w:r>
          </w:p>
          <w:p>
            <w:pPr>
              <w:spacing w:line="360" w:lineRule="auto"/>
              <w:ind w:firstLine="480" w:firstLineChars="0"/>
              <w:jc w:val="left"/>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体系运行的其他方面经过日常工作检查和数据分析，暂未发现应采取纠正和预防措施的机会。日后应进一步加大日常工作检查力度，及时发现不符合及潜在不符合并及时采取相应措施，持续改进体系的有效性。</w:t>
            </w:r>
          </w:p>
        </w:tc>
        <w:tc>
          <w:tcPr>
            <w:tcW w:w="1585" w:type="dxa"/>
            <w:vAlign w:val="top"/>
          </w:tcPr>
          <w:p>
            <w:pPr>
              <w:spacing w:line="360" w:lineRule="auto"/>
              <w:rPr>
                <w:rFonts w:hint="eastAsia" w:ascii="宋体" w:hAnsi="宋体" w:eastAsia="宋体" w:cs="宋体"/>
                <w:b w:val="0"/>
                <w:bCs w:val="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709" w:type="dxa"/>
            <w:gridSpan w:val="4"/>
          </w:tcPr>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备注：</w:t>
            </w:r>
          </w:p>
        </w:tc>
      </w:tr>
    </w:tbl>
    <w:p>
      <w:r>
        <w:ptab w:relativeTo="margin" w:alignment="center" w:leader="none"/>
      </w:r>
    </w:p>
    <w:p>
      <w:pPr>
        <w:pStyle w:val="6"/>
        <w:rPr>
          <w:rFonts w:hint="eastAsia"/>
        </w:rPr>
      </w:pPr>
      <w:r>
        <w:rPr>
          <w:rFonts w:hint="eastAsia"/>
        </w:rPr>
        <w:t>说明：不符合标注N</w:t>
      </w:r>
    </w:p>
    <w:p>
      <w:pPr>
        <w:rPr>
          <w:rFonts w:hint="eastAsia"/>
        </w:rPr>
      </w:pPr>
      <w:r>
        <w:rPr>
          <w:rFonts w:hint="eastAsia"/>
        </w:rPr>
        <w:br w:type="page"/>
      </w:r>
    </w:p>
    <w:p>
      <w:pPr>
        <w:pStyle w:val="6"/>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3" name="文本框 13"/>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JB+ETYAAAACwEAAA8AAAAAAAAAAQAgAAAAIgAAAGRycy9kb3ducmV2&#10;LnhtbFBLAQIUABQAAAAIAIdO4kCol5DJwwEAAHkDAAAOAAAAAAAAAAEAIAAAACcBAABkcnMvZTJv&#10;RG9jLnhtbFBLBQYAAAAABgAGAFkBAABcBQ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2U4Y2Q5MGE2Mzc1MDlkNDVmNzZkYmRlMTYyYjcifQ=="/>
  </w:docVars>
  <w:rsids>
    <w:rsidRoot w:val="00814B16"/>
    <w:rsid w:val="00011ABE"/>
    <w:rsid w:val="00076C21"/>
    <w:rsid w:val="00077C88"/>
    <w:rsid w:val="000A75BA"/>
    <w:rsid w:val="000B0CD5"/>
    <w:rsid w:val="000B6409"/>
    <w:rsid w:val="000F14E3"/>
    <w:rsid w:val="00115E0C"/>
    <w:rsid w:val="00121BF2"/>
    <w:rsid w:val="001311B9"/>
    <w:rsid w:val="00133E72"/>
    <w:rsid w:val="00140940"/>
    <w:rsid w:val="00140A69"/>
    <w:rsid w:val="0016036E"/>
    <w:rsid w:val="001937C7"/>
    <w:rsid w:val="001945D7"/>
    <w:rsid w:val="001A05B6"/>
    <w:rsid w:val="001A3B63"/>
    <w:rsid w:val="001B19FF"/>
    <w:rsid w:val="001C57A3"/>
    <w:rsid w:val="001F0E7B"/>
    <w:rsid w:val="001F37CF"/>
    <w:rsid w:val="001F77E0"/>
    <w:rsid w:val="002533F4"/>
    <w:rsid w:val="00273847"/>
    <w:rsid w:val="002871F4"/>
    <w:rsid w:val="00287457"/>
    <w:rsid w:val="002B36EC"/>
    <w:rsid w:val="002C22A6"/>
    <w:rsid w:val="002E29A0"/>
    <w:rsid w:val="002E55EA"/>
    <w:rsid w:val="002F05BD"/>
    <w:rsid w:val="003015FB"/>
    <w:rsid w:val="003273C2"/>
    <w:rsid w:val="003445A0"/>
    <w:rsid w:val="003541E0"/>
    <w:rsid w:val="00364D71"/>
    <w:rsid w:val="00382525"/>
    <w:rsid w:val="00384FEF"/>
    <w:rsid w:val="00397D3F"/>
    <w:rsid w:val="003C254E"/>
    <w:rsid w:val="003E434A"/>
    <w:rsid w:val="0042030E"/>
    <w:rsid w:val="0043712F"/>
    <w:rsid w:val="004450A7"/>
    <w:rsid w:val="0047490C"/>
    <w:rsid w:val="004819AB"/>
    <w:rsid w:val="004832CA"/>
    <w:rsid w:val="00497971"/>
    <w:rsid w:val="004B20B2"/>
    <w:rsid w:val="004B4B24"/>
    <w:rsid w:val="004D14C1"/>
    <w:rsid w:val="004D6FC5"/>
    <w:rsid w:val="004E6448"/>
    <w:rsid w:val="004E7665"/>
    <w:rsid w:val="004E7D7E"/>
    <w:rsid w:val="004F4E79"/>
    <w:rsid w:val="00503F34"/>
    <w:rsid w:val="005074C4"/>
    <w:rsid w:val="00507E17"/>
    <w:rsid w:val="00516205"/>
    <w:rsid w:val="00532DE5"/>
    <w:rsid w:val="00551E35"/>
    <w:rsid w:val="0056074B"/>
    <w:rsid w:val="00567182"/>
    <w:rsid w:val="005676DC"/>
    <w:rsid w:val="005A2330"/>
    <w:rsid w:val="005A23B2"/>
    <w:rsid w:val="005B6C34"/>
    <w:rsid w:val="005D2531"/>
    <w:rsid w:val="005F04E5"/>
    <w:rsid w:val="00621578"/>
    <w:rsid w:val="00621EA2"/>
    <w:rsid w:val="006256EF"/>
    <w:rsid w:val="00646303"/>
    <w:rsid w:val="0066353B"/>
    <w:rsid w:val="00663A52"/>
    <w:rsid w:val="00665E60"/>
    <w:rsid w:val="00672093"/>
    <w:rsid w:val="00672CC5"/>
    <w:rsid w:val="00680222"/>
    <w:rsid w:val="006842EC"/>
    <w:rsid w:val="006E4E1C"/>
    <w:rsid w:val="006F2650"/>
    <w:rsid w:val="006F2C8A"/>
    <w:rsid w:val="00713C1D"/>
    <w:rsid w:val="00715292"/>
    <w:rsid w:val="007469D5"/>
    <w:rsid w:val="0075560B"/>
    <w:rsid w:val="00756C63"/>
    <w:rsid w:val="00761387"/>
    <w:rsid w:val="00774749"/>
    <w:rsid w:val="007861D2"/>
    <w:rsid w:val="00797BA7"/>
    <w:rsid w:val="007B4E33"/>
    <w:rsid w:val="007C5A7D"/>
    <w:rsid w:val="007C6A31"/>
    <w:rsid w:val="007D3A58"/>
    <w:rsid w:val="007E6050"/>
    <w:rsid w:val="00814B16"/>
    <w:rsid w:val="008242EA"/>
    <w:rsid w:val="008265BB"/>
    <w:rsid w:val="00834CE8"/>
    <w:rsid w:val="0085042B"/>
    <w:rsid w:val="008631F9"/>
    <w:rsid w:val="008667F0"/>
    <w:rsid w:val="008A1509"/>
    <w:rsid w:val="008B3B2F"/>
    <w:rsid w:val="008C01A2"/>
    <w:rsid w:val="008D2E87"/>
    <w:rsid w:val="008D3475"/>
    <w:rsid w:val="00911D5E"/>
    <w:rsid w:val="0092791F"/>
    <w:rsid w:val="00954D65"/>
    <w:rsid w:val="00955C0E"/>
    <w:rsid w:val="00976860"/>
    <w:rsid w:val="00991AEB"/>
    <w:rsid w:val="00992529"/>
    <w:rsid w:val="009977CF"/>
    <w:rsid w:val="009B1072"/>
    <w:rsid w:val="00A01526"/>
    <w:rsid w:val="00A23D1B"/>
    <w:rsid w:val="00A30F85"/>
    <w:rsid w:val="00A52229"/>
    <w:rsid w:val="00A76F84"/>
    <w:rsid w:val="00A86196"/>
    <w:rsid w:val="00A94706"/>
    <w:rsid w:val="00AB5CFD"/>
    <w:rsid w:val="00AE6698"/>
    <w:rsid w:val="00B007F3"/>
    <w:rsid w:val="00B03AA7"/>
    <w:rsid w:val="00B119B7"/>
    <w:rsid w:val="00B361C1"/>
    <w:rsid w:val="00B531A8"/>
    <w:rsid w:val="00B53B05"/>
    <w:rsid w:val="00B6239E"/>
    <w:rsid w:val="00B6507C"/>
    <w:rsid w:val="00C277AC"/>
    <w:rsid w:val="00C41F32"/>
    <w:rsid w:val="00C4272D"/>
    <w:rsid w:val="00C44388"/>
    <w:rsid w:val="00C60EB8"/>
    <w:rsid w:val="00C827AA"/>
    <w:rsid w:val="00C856E9"/>
    <w:rsid w:val="00C94573"/>
    <w:rsid w:val="00CA1BE3"/>
    <w:rsid w:val="00CD1E5C"/>
    <w:rsid w:val="00CD4ED7"/>
    <w:rsid w:val="00CD58BC"/>
    <w:rsid w:val="00D05DB2"/>
    <w:rsid w:val="00D6037A"/>
    <w:rsid w:val="00D937E0"/>
    <w:rsid w:val="00DA22FF"/>
    <w:rsid w:val="00DE1A2C"/>
    <w:rsid w:val="00DE2FCE"/>
    <w:rsid w:val="00DF19AB"/>
    <w:rsid w:val="00E0114F"/>
    <w:rsid w:val="00E11BD3"/>
    <w:rsid w:val="00E17655"/>
    <w:rsid w:val="00E219A3"/>
    <w:rsid w:val="00E41911"/>
    <w:rsid w:val="00E556FE"/>
    <w:rsid w:val="00E707CA"/>
    <w:rsid w:val="00E944DC"/>
    <w:rsid w:val="00E97080"/>
    <w:rsid w:val="00E97654"/>
    <w:rsid w:val="00EA2EA2"/>
    <w:rsid w:val="00EB1A5C"/>
    <w:rsid w:val="00EB6AAC"/>
    <w:rsid w:val="00ED41DC"/>
    <w:rsid w:val="00EE43A0"/>
    <w:rsid w:val="00EE6BAB"/>
    <w:rsid w:val="00F01F3E"/>
    <w:rsid w:val="00F05246"/>
    <w:rsid w:val="00F11424"/>
    <w:rsid w:val="00F13731"/>
    <w:rsid w:val="00F43CC1"/>
    <w:rsid w:val="00F5455B"/>
    <w:rsid w:val="00F62C59"/>
    <w:rsid w:val="00FB5026"/>
    <w:rsid w:val="00FB6FAA"/>
    <w:rsid w:val="00FF01F3"/>
    <w:rsid w:val="00FF0A51"/>
    <w:rsid w:val="00FF1D21"/>
    <w:rsid w:val="00FF5E6D"/>
    <w:rsid w:val="020129FE"/>
    <w:rsid w:val="021522E9"/>
    <w:rsid w:val="026572A9"/>
    <w:rsid w:val="04AC5B58"/>
    <w:rsid w:val="04B03A25"/>
    <w:rsid w:val="056D41CE"/>
    <w:rsid w:val="0A755CD1"/>
    <w:rsid w:val="0C625E1B"/>
    <w:rsid w:val="0EC6526F"/>
    <w:rsid w:val="10AF5B39"/>
    <w:rsid w:val="10CC15C0"/>
    <w:rsid w:val="113D29BF"/>
    <w:rsid w:val="11B844E6"/>
    <w:rsid w:val="129057E6"/>
    <w:rsid w:val="12FD2E93"/>
    <w:rsid w:val="158E45BA"/>
    <w:rsid w:val="163E2E11"/>
    <w:rsid w:val="1A822FA7"/>
    <w:rsid w:val="1B3936B3"/>
    <w:rsid w:val="1BE846E9"/>
    <w:rsid w:val="1DC40F3E"/>
    <w:rsid w:val="1E17525C"/>
    <w:rsid w:val="1EED5939"/>
    <w:rsid w:val="21B3703D"/>
    <w:rsid w:val="24EE4865"/>
    <w:rsid w:val="26EB66E8"/>
    <w:rsid w:val="27197D3F"/>
    <w:rsid w:val="28B270E5"/>
    <w:rsid w:val="2EBF1259"/>
    <w:rsid w:val="2EF4224A"/>
    <w:rsid w:val="315A769F"/>
    <w:rsid w:val="328D0D90"/>
    <w:rsid w:val="332F6E2E"/>
    <w:rsid w:val="354C01C6"/>
    <w:rsid w:val="35655683"/>
    <w:rsid w:val="36106290"/>
    <w:rsid w:val="366131A6"/>
    <w:rsid w:val="36BE5965"/>
    <w:rsid w:val="36CB704A"/>
    <w:rsid w:val="37E42671"/>
    <w:rsid w:val="38CC3AF8"/>
    <w:rsid w:val="38CE76F2"/>
    <w:rsid w:val="38E44796"/>
    <w:rsid w:val="391D226E"/>
    <w:rsid w:val="39DF646A"/>
    <w:rsid w:val="3E676E01"/>
    <w:rsid w:val="3ED56DC4"/>
    <w:rsid w:val="3F1E1F7C"/>
    <w:rsid w:val="4074648A"/>
    <w:rsid w:val="418C5867"/>
    <w:rsid w:val="42684491"/>
    <w:rsid w:val="45060F3E"/>
    <w:rsid w:val="47432516"/>
    <w:rsid w:val="475D0FAE"/>
    <w:rsid w:val="47AB2FC0"/>
    <w:rsid w:val="47D469F7"/>
    <w:rsid w:val="48012986"/>
    <w:rsid w:val="4913714F"/>
    <w:rsid w:val="4A95487A"/>
    <w:rsid w:val="4B103D18"/>
    <w:rsid w:val="4C575F5D"/>
    <w:rsid w:val="4C7E4A49"/>
    <w:rsid w:val="4DED56EF"/>
    <w:rsid w:val="4EF0704D"/>
    <w:rsid w:val="4F3B0425"/>
    <w:rsid w:val="51816C5F"/>
    <w:rsid w:val="5493123C"/>
    <w:rsid w:val="5E8414C5"/>
    <w:rsid w:val="5FEF44CA"/>
    <w:rsid w:val="600D34DD"/>
    <w:rsid w:val="62E8549C"/>
    <w:rsid w:val="639A03A2"/>
    <w:rsid w:val="67500C85"/>
    <w:rsid w:val="689D56E8"/>
    <w:rsid w:val="690E7415"/>
    <w:rsid w:val="693E7AF0"/>
    <w:rsid w:val="69F51D33"/>
    <w:rsid w:val="6C1A634D"/>
    <w:rsid w:val="6E3312F4"/>
    <w:rsid w:val="6EA44CFD"/>
    <w:rsid w:val="6F4C31BA"/>
    <w:rsid w:val="6FC67861"/>
    <w:rsid w:val="701B22BE"/>
    <w:rsid w:val="723164F6"/>
    <w:rsid w:val="729B5296"/>
    <w:rsid w:val="72DA6CFE"/>
    <w:rsid w:val="73371E1F"/>
    <w:rsid w:val="7367290E"/>
    <w:rsid w:val="73C01D14"/>
    <w:rsid w:val="747D06DB"/>
    <w:rsid w:val="752D00F5"/>
    <w:rsid w:val="76142507"/>
    <w:rsid w:val="76B43CA8"/>
    <w:rsid w:val="789B5077"/>
    <w:rsid w:val="7A172C96"/>
    <w:rsid w:val="7A3F072B"/>
    <w:rsid w:val="7A695463"/>
    <w:rsid w:val="7AD237C2"/>
    <w:rsid w:val="7BC807EB"/>
    <w:rsid w:val="7CF56053"/>
    <w:rsid w:val="7F6838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pPr>
    <w:rPr>
      <w:bCs/>
      <w:spacing w:val="10"/>
    </w:rPr>
  </w:style>
  <w:style w:type="paragraph" w:styleId="3">
    <w:name w:val="Body Text"/>
    <w:basedOn w:val="1"/>
    <w:unhideWhenUsed/>
    <w:qFormat/>
    <w:uiPriority w:val="99"/>
    <w:pPr>
      <w:spacing w:line="420" w:lineRule="exact"/>
    </w:pPr>
    <w:rPr>
      <w:sz w:val="24"/>
    </w:rPr>
  </w:style>
  <w:style w:type="paragraph" w:styleId="4">
    <w:name w:val="Plain Text"/>
    <w:basedOn w:val="1"/>
    <w:qFormat/>
    <w:uiPriority w:val="0"/>
    <w:rPr>
      <w:rFonts w:ascii="宋体" w:hAnsi="Courier New"/>
      <w:sz w:val="24"/>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11">
    <w:name w:val="页眉 字符"/>
    <w:basedOn w:val="10"/>
    <w:link w:val="7"/>
    <w:qFormat/>
    <w:uiPriority w:val="99"/>
    <w:rPr>
      <w:rFonts w:ascii="Times New Roman" w:hAnsi="Times New Roman" w:eastAsia="宋体" w:cs="Times New Roman"/>
      <w:sz w:val="18"/>
      <w:szCs w:val="18"/>
    </w:rPr>
  </w:style>
  <w:style w:type="character" w:customStyle="1" w:styleId="12">
    <w:name w:val="页脚 字符"/>
    <w:basedOn w:val="10"/>
    <w:link w:val="6"/>
    <w:qFormat/>
    <w:uiPriority w:val="99"/>
    <w:rPr>
      <w:rFonts w:ascii="Times New Roman" w:hAnsi="Times New Roman" w:eastAsia="宋体" w:cs="Times New Roman"/>
      <w:sz w:val="18"/>
      <w:szCs w:val="18"/>
    </w:rPr>
  </w:style>
  <w:style w:type="character" w:customStyle="1" w:styleId="13">
    <w:name w:val="批注框文本 字符"/>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Char"/>
    <w:basedOn w:val="1"/>
    <w:qFormat/>
    <w:uiPriority w:val="0"/>
    <w:rPr>
      <w:rFonts w:ascii="仿宋_GB2312" w:eastAsia="仿宋_GB2312"/>
      <w:b/>
      <w:sz w:val="32"/>
      <w:szCs w:val="32"/>
    </w:rPr>
  </w:style>
  <w:style w:type="paragraph" w:customStyle="1" w:styleId="16">
    <w:name w:val="_Style 2"/>
    <w:basedOn w:val="1"/>
    <w:qFormat/>
    <w:uiPriority w:val="34"/>
    <w:pPr>
      <w:ind w:firstLine="420" w:firstLineChars="200"/>
    </w:pPr>
    <w:rPr>
      <w:rFonts w:ascii="Calibri" w:hAnsi="Calibri"/>
      <w:sz w:val="24"/>
      <w:szCs w:val="22"/>
    </w:rPr>
  </w:style>
  <w:style w:type="paragraph" w:styleId="1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5141</Words>
  <Characters>5790</Characters>
  <Lines>37</Lines>
  <Paragraphs>10</Paragraphs>
  <TotalTime>0</TotalTime>
  <ScaleCrop>false</ScaleCrop>
  <LinksUpToDate>false</LinksUpToDate>
  <CharactersWithSpaces>5820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2020-04-19T05:25:00Z</dcterms:created>
  <dc:creator>微软用户</dc:creator>
  <cp:lastModifiedBy>LIL</cp:lastModifiedBy>
  <dcterms:modified xsi:type="dcterms:W3CDTF">2022-05-12T02:14:26Z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7FFE1DDC4FB84282A33DFED8FC12F665</vt:lpwstr>
  </property>
</Properties>
</file>