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934"/>
        <w:gridCol w:w="10653"/>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00"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pPr>
            <w:r>
              <w:rPr>
                <w:rFonts w:hint="eastAsia"/>
                <w:sz w:val="24"/>
                <w:szCs w:val="24"/>
              </w:rPr>
              <w:t>抽样计划</w:t>
            </w:r>
          </w:p>
        </w:tc>
        <w:tc>
          <w:tcPr>
            <w:tcW w:w="934" w:type="dxa"/>
            <w:vMerge w:val="restart"/>
            <w:vAlign w:val="center"/>
          </w:tcPr>
          <w:p>
            <w:pPr>
              <w:spacing w:line="360" w:lineRule="auto"/>
              <w:rPr>
                <w:sz w:val="24"/>
                <w:szCs w:val="24"/>
              </w:rPr>
            </w:pPr>
            <w:r>
              <w:rPr>
                <w:rFonts w:hint="eastAsia"/>
                <w:sz w:val="24"/>
                <w:szCs w:val="24"/>
              </w:rPr>
              <w:t>涉及</w:t>
            </w:r>
          </w:p>
          <w:p>
            <w:pPr>
              <w:spacing w:line="360" w:lineRule="auto"/>
            </w:pPr>
            <w:r>
              <w:rPr>
                <w:rFonts w:hint="eastAsia"/>
                <w:sz w:val="24"/>
                <w:szCs w:val="24"/>
              </w:rPr>
              <w:t>条款</w:t>
            </w:r>
          </w:p>
        </w:tc>
        <w:tc>
          <w:tcPr>
            <w:tcW w:w="10653" w:type="dxa"/>
            <w:vAlign w:val="center"/>
          </w:tcPr>
          <w:p>
            <w:pPr>
              <w:spacing w:line="360" w:lineRule="auto"/>
              <w:rPr>
                <w:rFonts w:hint="default" w:eastAsia="宋体"/>
                <w:sz w:val="24"/>
                <w:szCs w:val="24"/>
                <w:lang w:val="en-US" w:eastAsia="zh-CN"/>
              </w:rPr>
            </w:pPr>
            <w:r>
              <w:rPr>
                <w:rFonts w:hint="eastAsia"/>
                <w:sz w:val="24"/>
                <w:szCs w:val="24"/>
              </w:rPr>
              <w:t>受审核部门：管理层</w:t>
            </w:r>
            <w:r>
              <w:rPr>
                <w:rFonts w:hint="eastAsia"/>
                <w:sz w:val="24"/>
                <w:szCs w:val="24"/>
                <w:lang w:val="en-US" w:eastAsia="zh-CN"/>
              </w:rPr>
              <w:t xml:space="preserve">       </w:t>
            </w:r>
            <w:r>
              <w:rPr>
                <w:rFonts w:hint="eastAsia"/>
                <w:sz w:val="24"/>
                <w:szCs w:val="24"/>
              </w:rPr>
              <w:t xml:space="preserve"> 主管领导：</w:t>
            </w:r>
            <w:r>
              <w:rPr>
                <w:rFonts w:hint="eastAsia"/>
                <w:sz w:val="24"/>
                <w:szCs w:val="24"/>
                <w:lang w:val="en-US" w:eastAsia="zh-CN"/>
              </w:rPr>
              <w:t>周东福</w:t>
            </w:r>
            <w:r>
              <w:rPr>
                <w:sz w:val="24"/>
                <w:szCs w:val="24"/>
              </w:rPr>
              <w:t xml:space="preserve">   </w:t>
            </w:r>
            <w:r>
              <w:rPr>
                <w:rFonts w:hint="eastAsia"/>
                <w:sz w:val="24"/>
                <w:szCs w:val="24"/>
              </w:rPr>
              <w:t xml:space="preserve"> 陪同人员：</w:t>
            </w:r>
            <w:r>
              <w:rPr>
                <w:rFonts w:hint="eastAsia"/>
                <w:sz w:val="24"/>
                <w:szCs w:val="24"/>
                <w:lang w:val="en-US" w:eastAsia="zh-CN"/>
              </w:rPr>
              <w:t>李苏燕</w:t>
            </w:r>
          </w:p>
        </w:tc>
        <w:tc>
          <w:tcPr>
            <w:tcW w:w="1222"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00" w:type="dxa"/>
            <w:vMerge w:val="continue"/>
            <w:vAlign w:val="center"/>
          </w:tcPr>
          <w:p>
            <w:pPr>
              <w:spacing w:line="360" w:lineRule="auto"/>
            </w:pPr>
          </w:p>
        </w:tc>
        <w:tc>
          <w:tcPr>
            <w:tcW w:w="934" w:type="dxa"/>
            <w:vMerge w:val="continue"/>
            <w:vAlign w:val="center"/>
          </w:tcPr>
          <w:p>
            <w:pPr>
              <w:spacing w:line="360" w:lineRule="auto"/>
            </w:pPr>
          </w:p>
        </w:tc>
        <w:tc>
          <w:tcPr>
            <w:tcW w:w="10653" w:type="dxa"/>
            <w:vAlign w:val="center"/>
          </w:tcPr>
          <w:p>
            <w:pPr>
              <w:spacing w:before="120" w:line="360" w:lineRule="auto"/>
              <w:rPr>
                <w:rFonts w:hint="default" w:eastAsia="宋体"/>
                <w:lang w:val="en-US" w:eastAsia="zh-CN"/>
              </w:rPr>
            </w:pPr>
            <w:r>
              <w:rPr>
                <w:rFonts w:hint="eastAsia"/>
                <w:sz w:val="24"/>
                <w:szCs w:val="24"/>
              </w:rPr>
              <w:t>审核员：</w:t>
            </w:r>
            <w:r>
              <w:rPr>
                <w:rFonts w:hint="eastAsia"/>
                <w:sz w:val="24"/>
                <w:szCs w:val="24"/>
                <w:lang w:val="en-US" w:eastAsia="zh-CN"/>
              </w:rPr>
              <w:t xml:space="preserve">李俐   陈飞燕             </w:t>
            </w:r>
            <w:r>
              <w:rPr>
                <w:rFonts w:hint="eastAsia"/>
                <w:sz w:val="24"/>
                <w:szCs w:val="24"/>
              </w:rPr>
              <w:t>审核时间</w:t>
            </w:r>
            <w:bookmarkStart w:id="1" w:name="_GoBack"/>
            <w:bookmarkEnd w:id="1"/>
            <w:r>
              <w:rPr>
                <w:rFonts w:hint="eastAsia"/>
                <w:sz w:val="24"/>
                <w:szCs w:val="24"/>
              </w:rPr>
              <w:t>：2022.5.10</w:t>
            </w:r>
          </w:p>
        </w:tc>
        <w:tc>
          <w:tcPr>
            <w:tcW w:w="1222"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0" w:type="dxa"/>
            <w:vMerge w:val="continue"/>
            <w:vAlign w:val="center"/>
          </w:tcPr>
          <w:p>
            <w:pPr>
              <w:spacing w:line="360" w:lineRule="auto"/>
            </w:pPr>
          </w:p>
        </w:tc>
        <w:tc>
          <w:tcPr>
            <w:tcW w:w="934" w:type="dxa"/>
            <w:vMerge w:val="continue"/>
            <w:vAlign w:val="center"/>
          </w:tcPr>
          <w:p>
            <w:pPr>
              <w:spacing w:line="360" w:lineRule="auto"/>
            </w:pPr>
          </w:p>
        </w:tc>
        <w:tc>
          <w:tcPr>
            <w:tcW w:w="10653" w:type="dxa"/>
            <w:vAlign w:val="center"/>
          </w:tcPr>
          <w:p>
            <w:pPr>
              <w:adjustRightInd w:val="0"/>
              <w:snapToGrid w:val="0"/>
              <w:spacing w:line="360" w:lineRule="auto"/>
              <w:ind w:right="105" w:rightChars="50"/>
              <w:jc w:val="left"/>
              <w:textAlignment w:val="baseline"/>
              <w:rPr>
                <w:rFonts w:hint="eastAsia"/>
                <w:sz w:val="24"/>
                <w:szCs w:val="24"/>
              </w:rPr>
            </w:pPr>
            <w:r>
              <w:rPr>
                <w:rFonts w:hint="eastAsia"/>
                <w:sz w:val="24"/>
                <w:szCs w:val="24"/>
              </w:rPr>
              <w:t>审核条款：</w:t>
            </w:r>
          </w:p>
          <w:p>
            <w:pPr>
              <w:adjustRightInd w:val="0"/>
              <w:snapToGrid w:val="0"/>
              <w:spacing w:line="360" w:lineRule="auto"/>
              <w:ind w:right="105" w:rightChars="50"/>
              <w:jc w:val="left"/>
              <w:textAlignment w:val="baseline"/>
              <w:rPr>
                <w:rFonts w:hint="eastAsia"/>
                <w:sz w:val="24"/>
                <w:szCs w:val="24"/>
              </w:rPr>
            </w:pPr>
            <w:r>
              <w:rPr>
                <w:rFonts w:hint="eastAsia"/>
                <w:sz w:val="24"/>
                <w:szCs w:val="24"/>
              </w:rPr>
              <w:t>Q/(J)：Q:4.1/4.2/4.3/4.4/（3.1、3.3）5.1（4.3）/5.2（3.2）/5.3（4.3）/6.1（12.3-5）/6.2（3.2）/6.3（3.4）/7.1.1(3.4)/7.1.6(3.3.4)/9.1.1（3.4.2、11.1.1、11.2、12.1、12.2.1-2）/9.3（12.4）/10.1(12.1)/10.3（12.5）</w:t>
            </w:r>
          </w:p>
          <w:p>
            <w:pPr>
              <w:adjustRightInd w:val="0"/>
              <w:snapToGrid w:val="0"/>
              <w:spacing w:line="360" w:lineRule="auto"/>
              <w:ind w:right="105" w:rightChars="50"/>
              <w:jc w:val="left"/>
              <w:textAlignment w:val="baseline"/>
              <w:rPr>
                <w:sz w:val="24"/>
                <w:szCs w:val="24"/>
              </w:rPr>
            </w:pPr>
            <w:r>
              <w:rPr>
                <w:rFonts w:hint="eastAsia"/>
                <w:sz w:val="24"/>
                <w:szCs w:val="24"/>
              </w:rPr>
              <w:t>国家/地方监督抽查情况；顾客满意、相关方投诉及处理情况；上次审核问题验证，证书、标识使用情况验证。验证企业相关资质证明的有效性；</w:t>
            </w:r>
          </w:p>
        </w:tc>
        <w:tc>
          <w:tcPr>
            <w:tcW w:w="1222"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0" w:type="dxa"/>
            <w:vAlign w:val="top"/>
          </w:tcPr>
          <w:p>
            <w:pPr>
              <w:spacing w:line="360" w:lineRule="auto"/>
            </w:pPr>
            <w:r>
              <w:rPr>
                <w:rFonts w:hint="eastAsia"/>
              </w:rPr>
              <w:t>理解组织及其环境</w:t>
            </w:r>
          </w:p>
          <w:p>
            <w:pPr>
              <w:spacing w:line="360" w:lineRule="auto"/>
            </w:pPr>
          </w:p>
          <w:p>
            <w:pPr>
              <w:spacing w:line="360" w:lineRule="auto"/>
            </w:pPr>
          </w:p>
          <w:p>
            <w:pPr>
              <w:pStyle w:val="2"/>
            </w:pPr>
          </w:p>
          <w:p>
            <w:pPr>
              <w:pStyle w:val="2"/>
            </w:pPr>
          </w:p>
          <w:p>
            <w:pPr>
              <w:pStyle w:val="2"/>
            </w:pPr>
          </w:p>
          <w:p>
            <w:pPr>
              <w:pStyle w:val="2"/>
            </w:pPr>
          </w:p>
          <w:p>
            <w:pPr>
              <w:spacing w:line="360" w:lineRule="auto"/>
              <w:rPr>
                <w:rFonts w:ascii="Times New Roman" w:hAnsi="Times New Roman" w:eastAsia="宋体" w:cs="Times New Roman"/>
                <w:kern w:val="2"/>
                <w:sz w:val="21"/>
                <w:lang w:val="en-US" w:eastAsia="zh-CN" w:bidi="ar-SA"/>
              </w:rPr>
            </w:pPr>
          </w:p>
        </w:tc>
        <w:tc>
          <w:tcPr>
            <w:tcW w:w="934" w:type="dxa"/>
            <w:vAlign w:val="top"/>
          </w:tcPr>
          <w:p>
            <w:pPr>
              <w:rPr>
                <w:szCs w:val="21"/>
              </w:rPr>
            </w:pPr>
            <w:r>
              <w:rPr>
                <w:rFonts w:hint="eastAsia"/>
                <w:szCs w:val="21"/>
              </w:rPr>
              <w:t>Q4.1</w:t>
            </w:r>
          </w:p>
          <w:p>
            <w:pPr>
              <w:spacing w:line="360" w:lineRule="auto"/>
            </w:pPr>
            <w:r>
              <w:rPr>
                <w:rFonts w:hint="eastAsia"/>
                <w:szCs w:val="21"/>
              </w:rPr>
              <w:t>J3.1</w:t>
            </w:r>
          </w:p>
          <w:p>
            <w:pPr>
              <w:rPr>
                <w:rFonts w:hint="eastAsia"/>
                <w:szCs w:val="21"/>
              </w:rPr>
            </w:pPr>
          </w:p>
          <w:p>
            <w:pPr>
              <w:rPr>
                <w:rFonts w:hint="eastAsia"/>
                <w:szCs w:val="21"/>
              </w:rPr>
            </w:pPr>
          </w:p>
          <w:p>
            <w:pPr>
              <w:pStyle w:val="2"/>
              <w:rPr>
                <w:rFonts w:hint="eastAsia"/>
                <w:szCs w:val="21"/>
              </w:rPr>
            </w:pPr>
          </w:p>
          <w:p>
            <w:pPr>
              <w:pStyle w:val="2"/>
              <w:rPr>
                <w:rFonts w:hint="eastAsia"/>
                <w:szCs w:val="21"/>
              </w:rPr>
            </w:pPr>
          </w:p>
          <w:p>
            <w:pPr>
              <w:pStyle w:val="2"/>
              <w:rPr>
                <w:rFonts w:hint="eastAsia"/>
                <w:szCs w:val="21"/>
              </w:rPr>
            </w:pPr>
          </w:p>
          <w:p>
            <w:pPr>
              <w:pStyle w:val="2"/>
              <w:rPr>
                <w:rFonts w:hint="eastAsia"/>
                <w:szCs w:val="21"/>
              </w:rPr>
            </w:pPr>
          </w:p>
          <w:p>
            <w:pPr>
              <w:spacing w:line="360" w:lineRule="auto"/>
              <w:rPr>
                <w:rFonts w:ascii="Times New Roman" w:hAnsi="Times New Roman" w:eastAsia="宋体" w:cs="Times New Roman"/>
                <w:kern w:val="2"/>
                <w:sz w:val="21"/>
                <w:lang w:val="en-US" w:eastAsia="zh-CN" w:bidi="ar-SA"/>
              </w:rPr>
            </w:pPr>
          </w:p>
        </w:tc>
        <w:tc>
          <w:tcPr>
            <w:tcW w:w="10653" w:type="dxa"/>
            <w:vAlign w:val="center"/>
          </w:tcPr>
          <w:p>
            <w:pPr>
              <w:spacing w:line="360" w:lineRule="auto"/>
            </w:pPr>
            <w:r>
              <w:rPr>
                <w:rFonts w:hint="eastAsia"/>
              </w:rPr>
              <w:t>该公司</w:t>
            </w:r>
            <w:r>
              <w:t>2018</w:t>
            </w:r>
            <w:r>
              <w:rPr>
                <w:rFonts w:hint="eastAsia"/>
              </w:rPr>
              <w:t>年</w:t>
            </w:r>
            <w:r>
              <w:t>07</w:t>
            </w:r>
            <w:r>
              <w:rPr>
                <w:rFonts w:hint="eastAsia"/>
              </w:rPr>
              <w:t>月注册，法人：</w:t>
            </w:r>
            <w:r>
              <w:rPr>
                <w:rFonts w:hint="eastAsia"/>
                <w:lang w:val="en-US" w:eastAsia="zh-CN"/>
              </w:rPr>
              <w:t>周东福</w:t>
            </w:r>
            <w:r>
              <w:rPr>
                <w:rFonts w:hint="eastAsia"/>
              </w:rPr>
              <w:t>，总经理：</w:t>
            </w:r>
            <w:r>
              <w:rPr>
                <w:rFonts w:hint="eastAsia"/>
                <w:lang w:val="en-US" w:eastAsia="zh-CN"/>
              </w:rPr>
              <w:t>周东福</w:t>
            </w:r>
            <w:r>
              <w:rPr>
                <w:rFonts w:hint="eastAsia"/>
              </w:rPr>
              <w:t xml:space="preserve">  管理者代表</w:t>
            </w:r>
            <w:r>
              <w:rPr>
                <w:rFonts w:hint="eastAsia"/>
                <w:lang w:val="en-US" w:eastAsia="zh-CN"/>
              </w:rPr>
              <w:t>/行政部经理</w:t>
            </w:r>
            <w:r>
              <w:rPr>
                <w:rFonts w:hint="eastAsia"/>
              </w:rPr>
              <w:t>：</w:t>
            </w:r>
            <w:r>
              <w:rPr>
                <w:rFonts w:hint="eastAsia"/>
                <w:lang w:val="en-US" w:eastAsia="zh-CN"/>
              </w:rPr>
              <w:t>李苏燕</w:t>
            </w:r>
            <w:r>
              <w:rPr>
                <w:rFonts w:hint="eastAsia"/>
              </w:rPr>
              <w:t>。</w:t>
            </w:r>
          </w:p>
          <w:p>
            <w:pPr>
              <w:spacing w:line="360" w:lineRule="auto"/>
              <w:rPr>
                <w:rFonts w:hint="eastAsia"/>
              </w:rPr>
            </w:pPr>
            <w:r>
              <w:rPr>
                <w:rFonts w:hint="eastAsia"/>
              </w:rPr>
              <w:t>注册地址：陕西省西安市经济技术开发区凤城九路海博广场B座2001室；</w:t>
            </w:r>
          </w:p>
          <w:p>
            <w:pPr>
              <w:spacing w:line="360" w:lineRule="auto"/>
              <w:rPr>
                <w:rFonts w:hint="eastAsia"/>
              </w:rPr>
            </w:pPr>
            <w:r>
              <w:rPr>
                <w:rFonts w:hint="eastAsia"/>
              </w:rPr>
              <w:t>生产经营地址：陕西省西安市经济技术开发区凤城九路海博广场B座2001室；</w:t>
            </w:r>
          </w:p>
          <w:p>
            <w:pPr>
              <w:spacing w:line="360" w:lineRule="auto"/>
              <w:rPr>
                <w:rFonts w:hint="default"/>
                <w:lang w:val="en-US" w:eastAsia="zh-CN"/>
              </w:rPr>
            </w:pPr>
            <w:r>
              <w:rPr>
                <w:rFonts w:hint="eastAsia"/>
                <w:lang w:val="en-US" w:eastAsia="zh-CN"/>
              </w:rPr>
              <w:t>该场所为法人代表自有，查其房产证，编号为：陕（2019）西安市不动产权第0251994号。</w:t>
            </w:r>
          </w:p>
          <w:p>
            <w:pPr>
              <w:spacing w:line="360" w:lineRule="auto"/>
              <w:rPr>
                <w:rFonts w:hint="default" w:ascii="Times New Roman" w:hAnsi="Times New Roman" w:cs="Times New Roman"/>
                <w:lang w:val="en-US" w:eastAsia="zh-CN"/>
              </w:rPr>
            </w:pPr>
            <w:r>
              <w:rPr>
                <w:rFonts w:hint="eastAsia" w:ascii="Times New Roman" w:hAnsi="Times New Roman" w:cs="Times New Roman"/>
              </w:rPr>
              <w:t>营业执照符合要求，在有效期限，见附件。</w:t>
            </w:r>
            <w:r>
              <w:rPr>
                <w:rFonts w:hint="eastAsia" w:ascii="Times New Roman" w:hAnsi="Times New Roman" w:cs="Times New Roman"/>
                <w:lang w:val="en-US" w:eastAsia="zh-CN"/>
              </w:rPr>
              <w:t>营业执照及人员、组织机构一年来未发生变化。</w:t>
            </w:r>
          </w:p>
          <w:p>
            <w:pPr>
              <w:spacing w:line="360" w:lineRule="auto"/>
              <w:rPr>
                <w:rFonts w:hint="default" w:ascii="Times New Roman" w:hAnsi="Times New Roman" w:eastAsia="宋体" w:cs="Times New Roman"/>
                <w:lang w:val="en-US" w:eastAsia="zh-CN"/>
              </w:rPr>
            </w:pPr>
            <w:r>
              <w:rPr>
                <w:rFonts w:hint="eastAsia" w:ascii="Times New Roman" w:hAnsi="Times New Roman" w:cs="Times New Roman"/>
                <w:lang w:val="en-US" w:eastAsia="zh-CN"/>
              </w:rPr>
              <w:t>资质类别及</w:t>
            </w:r>
            <w:r>
              <w:rPr>
                <w:rFonts w:hint="eastAsia" w:ascii="Times New Roman" w:hAnsi="Times New Roman" w:cs="Times New Roman"/>
                <w:color w:val="000000" w:themeColor="text1"/>
                <w:lang w:val="en-US" w:eastAsia="zh-CN"/>
                <w14:textFill>
                  <w14:solidFill>
                    <w14:schemeClr w14:val="tx1"/>
                  </w14:solidFill>
                </w14:textFill>
              </w:rPr>
              <w:t>等级：电子与智能化工程专业承包</w:t>
            </w:r>
            <w:r>
              <w:rPr>
                <w:rFonts w:hint="eastAsia" w:cs="Times New Roman"/>
                <w:color w:val="000000" w:themeColor="text1"/>
                <w:lang w:val="en-US" w:eastAsia="zh-CN"/>
                <w14:textFill>
                  <w14:solidFill>
                    <w14:schemeClr w14:val="tx1"/>
                  </w14:solidFill>
                </w14:textFill>
              </w:rPr>
              <w:t>一</w:t>
            </w:r>
            <w:r>
              <w:rPr>
                <w:rFonts w:hint="eastAsia" w:ascii="Times New Roman" w:hAnsi="Times New Roman" w:cs="Times New Roman"/>
                <w:color w:val="000000" w:themeColor="text1"/>
                <w:lang w:val="en-US" w:eastAsia="zh-CN"/>
                <w14:textFill>
                  <w14:solidFill>
                    <w14:schemeClr w14:val="tx1"/>
                  </w14:solidFill>
                </w14:textFill>
              </w:rPr>
              <w:t>级</w:t>
            </w:r>
            <w:r>
              <w:rPr>
                <w:rFonts w:hint="eastAsia" w:cs="Times New Roman"/>
                <w:color w:val="000000" w:themeColor="text1"/>
                <w:lang w:val="en-US" w:eastAsia="zh-CN"/>
                <w14:textFill>
                  <w14:solidFill>
                    <w14:schemeClr w14:val="tx1"/>
                  </w14:solidFill>
                </w14:textFill>
              </w:rPr>
              <w:t>、通信工程施工总承包三</w:t>
            </w:r>
            <w:r>
              <w:rPr>
                <w:rFonts w:hint="eastAsia" w:ascii="Times New Roman" w:hAnsi="Times New Roman" w:cs="Times New Roman"/>
                <w:color w:val="000000" w:themeColor="text1"/>
                <w:lang w:val="en-US" w:eastAsia="zh-CN"/>
                <w14:textFill>
                  <w14:solidFill>
                    <w14:schemeClr w14:val="tx1"/>
                  </w14:solidFill>
                </w14:textFill>
              </w:rPr>
              <w:t>级</w:t>
            </w:r>
            <w:r>
              <w:rPr>
                <w:rFonts w:hint="eastAsia" w:cs="Times New Roman"/>
                <w:color w:val="000000" w:themeColor="text1"/>
                <w:lang w:val="en-US" w:eastAsia="zh-CN"/>
                <w14:textFill>
                  <w14:solidFill>
                    <w14:schemeClr w14:val="tx1"/>
                  </w14:solidFill>
                </w14:textFill>
              </w:rPr>
              <w:t>、特种工程专业承包（特种防雷）、建筑机电安装工程三</w:t>
            </w:r>
            <w:r>
              <w:rPr>
                <w:rFonts w:hint="eastAsia" w:ascii="Times New Roman" w:hAnsi="Times New Roman" w:cs="Times New Roman"/>
                <w:color w:val="000000" w:themeColor="text1"/>
                <w:lang w:val="en-US" w:eastAsia="zh-CN"/>
                <w14:textFill>
                  <w14:solidFill>
                    <w14:schemeClr w14:val="tx1"/>
                  </w14:solidFill>
                </w14:textFill>
              </w:rPr>
              <w:t>级</w:t>
            </w:r>
            <w:r>
              <w:rPr>
                <w:rFonts w:hint="eastAsia"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见附件</w:t>
            </w:r>
          </w:p>
          <w:p>
            <w:pPr>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公司现有3个职能部门: 行政部、市场部、工程部；查“组织的角色、职责和权限”各部门职责权限基本明确。</w:t>
            </w:r>
          </w:p>
          <w:p>
            <w:pPr>
              <w:spacing w:line="360" w:lineRule="auto"/>
              <w:rPr>
                <w:rFonts w:hint="default"/>
                <w:color w:val="FF0000"/>
                <w:sz w:val="24"/>
                <w:szCs w:val="24"/>
                <w:lang w:val="en-US" w:eastAsia="zh-CN"/>
              </w:rPr>
            </w:pPr>
            <w:r>
              <w:rPr>
                <w:rFonts w:hint="eastAsia" w:ascii="Times New Roman" w:hAnsi="Times New Roman" w:cs="Times New Roman"/>
                <w:lang w:val="en-US" w:eastAsia="zh-CN"/>
              </w:rPr>
              <w:t>受审核方在建立质量、环境和职业健康安全管理体系时，结合企业的发展、考虑并制定了与企业发展的战略规划，查有：公司制定的初步发展规划，总经理谈话过程中涉及。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作外部和内部因素的分析，外部因素考虑市场容量、竞争、法律等方面；内部因素分析较多，分别从内部资源、企业文化、员工、资金等因素展开；采用SWOT方法进行分析，日常会议上常议以上各因素，以实现监测和评审，并输出未来发展规划。体系运行以来，没有发生重大顾客投诉、环境或职业健康安全事故等。目前公司共有40人，与申请基本一致。</w:t>
            </w:r>
          </w:p>
        </w:tc>
        <w:tc>
          <w:tcPr>
            <w:tcW w:w="1222"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0" w:type="dxa"/>
            <w:vAlign w:val="top"/>
          </w:tcPr>
          <w:p>
            <w:pPr>
              <w:spacing w:line="360" w:lineRule="auto"/>
              <w:rPr>
                <w:rFonts w:hint="eastAsia"/>
              </w:rPr>
            </w:pPr>
          </w:p>
          <w:p>
            <w:pPr>
              <w:spacing w:line="360" w:lineRule="auto"/>
              <w:rPr>
                <w:rFonts w:ascii="Times New Roman" w:hAnsi="Times New Roman" w:eastAsia="宋体" w:cs="Times New Roman"/>
                <w:kern w:val="2"/>
                <w:sz w:val="21"/>
                <w:lang w:val="en-US" w:eastAsia="zh-CN" w:bidi="ar-SA"/>
              </w:rPr>
            </w:pPr>
            <w:r>
              <w:rPr>
                <w:rFonts w:hint="eastAsia"/>
              </w:rPr>
              <w:t>理解相关方的需求和期望</w:t>
            </w:r>
          </w:p>
        </w:tc>
        <w:tc>
          <w:tcPr>
            <w:tcW w:w="934" w:type="dxa"/>
            <w:vAlign w:val="top"/>
          </w:tcPr>
          <w:p>
            <w:pPr>
              <w:rPr>
                <w:rFonts w:hint="eastAsia"/>
                <w:szCs w:val="21"/>
              </w:rPr>
            </w:pPr>
          </w:p>
          <w:p>
            <w:pPr>
              <w:rPr>
                <w:rFonts w:hint="eastAsia"/>
                <w:szCs w:val="21"/>
              </w:rPr>
            </w:pPr>
          </w:p>
          <w:p>
            <w:pPr>
              <w:rPr>
                <w:szCs w:val="21"/>
              </w:rPr>
            </w:pPr>
            <w:r>
              <w:rPr>
                <w:rFonts w:hint="eastAsia"/>
                <w:szCs w:val="21"/>
              </w:rPr>
              <w:t>Q4.2</w:t>
            </w:r>
          </w:p>
          <w:p>
            <w:pPr>
              <w:spacing w:line="360" w:lineRule="auto"/>
              <w:rPr>
                <w:rFonts w:ascii="Times New Roman" w:hAnsi="Times New Roman" w:eastAsia="宋体" w:cs="Times New Roman"/>
                <w:kern w:val="2"/>
                <w:sz w:val="21"/>
                <w:lang w:val="en-US" w:eastAsia="zh-CN" w:bidi="ar-SA"/>
              </w:rPr>
            </w:pPr>
            <w:r>
              <w:rPr>
                <w:rFonts w:hint="eastAsia"/>
                <w:szCs w:val="21"/>
              </w:rPr>
              <w:t>J3.1</w:t>
            </w:r>
          </w:p>
        </w:tc>
        <w:tc>
          <w:tcPr>
            <w:tcW w:w="10653" w:type="dxa"/>
            <w:vAlign w:val="center"/>
          </w:tcPr>
          <w:p>
            <w:pPr>
              <w:spacing w:line="360" w:lineRule="auto"/>
              <w:ind w:firstLine="420" w:firstLineChars="200"/>
              <w:rPr>
                <w:rFonts w:ascii="宋体" w:hAnsi="宋体" w:cs="宋体"/>
                <w:szCs w:val="21"/>
              </w:rPr>
            </w:pPr>
            <w:r>
              <w:rPr>
                <w:rFonts w:hint="eastAsia" w:ascii="宋体" w:hAnsi="宋体" w:cs="宋体"/>
                <w:szCs w:val="21"/>
              </w:rPr>
              <w:t>公司主要对与质量环境职业健康安全相关的各相关方及其要求的相关信息进行监视和评审，以便于理解和持续满足相关方的需求和期望。</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本公司考虑以下相关方：--顾客； ---供方；--员工； --审核机构等；--政府机构等；并根据各相关方识别了相应的需求和期望，明确了监测指标或项目，监测频次，监控部门等。如顾客产品质量符合要求、及时交货、价格合理；政府机构主要是安全生产、环保生产、就业最大化、经营效益好等。识别基本充分。提供《相关方的要求和期望清单》，识别员工、供应商、顾客、社会等要求。</w:t>
            </w:r>
          </w:p>
        </w:tc>
        <w:tc>
          <w:tcPr>
            <w:tcW w:w="1222"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00" w:type="dxa"/>
          </w:tcPr>
          <w:p>
            <w:pPr>
              <w:spacing w:line="360" w:lineRule="auto"/>
              <w:rPr>
                <w:rFonts w:hint="eastAsia"/>
              </w:rPr>
            </w:pPr>
          </w:p>
          <w:p>
            <w:pPr>
              <w:spacing w:line="360" w:lineRule="auto"/>
              <w:rPr>
                <w:rFonts w:hint="eastAsia"/>
              </w:rPr>
            </w:pPr>
          </w:p>
          <w:p>
            <w:pPr>
              <w:spacing w:line="360" w:lineRule="auto"/>
            </w:pPr>
            <w:r>
              <w:rPr>
                <w:rFonts w:hint="eastAsia"/>
              </w:rPr>
              <w:t>确定管理体系的范围</w:t>
            </w:r>
          </w:p>
        </w:tc>
        <w:tc>
          <w:tcPr>
            <w:tcW w:w="934" w:type="dxa"/>
          </w:tcPr>
          <w:p>
            <w:pPr>
              <w:rPr>
                <w:rFonts w:hint="eastAsia"/>
                <w:szCs w:val="21"/>
              </w:rPr>
            </w:pPr>
          </w:p>
          <w:p>
            <w:pPr>
              <w:rPr>
                <w:rFonts w:hint="eastAsia"/>
                <w:szCs w:val="21"/>
              </w:rPr>
            </w:pPr>
          </w:p>
          <w:p>
            <w:pPr>
              <w:rPr>
                <w:szCs w:val="21"/>
              </w:rPr>
            </w:pPr>
            <w:r>
              <w:rPr>
                <w:rFonts w:hint="eastAsia"/>
                <w:szCs w:val="21"/>
              </w:rPr>
              <w:t>Q4.3</w:t>
            </w:r>
          </w:p>
          <w:p>
            <w:pPr>
              <w:spacing w:line="360" w:lineRule="auto"/>
            </w:pPr>
            <w:r>
              <w:rPr>
                <w:rFonts w:hint="eastAsia"/>
                <w:szCs w:val="21"/>
              </w:rPr>
              <w:t>J3.1</w:t>
            </w:r>
          </w:p>
        </w:tc>
        <w:tc>
          <w:tcPr>
            <w:tcW w:w="10653" w:type="dxa"/>
          </w:tcPr>
          <w:p>
            <w:pPr>
              <w:rPr>
                <w:rFonts w:ascii="宋体" w:hAnsi="宋体" w:cs="宋体"/>
                <w:szCs w:val="21"/>
              </w:rPr>
            </w:pPr>
            <w:r>
              <w:rPr>
                <w:rFonts w:hint="eastAsia" w:ascii="宋体" w:hAnsi="宋体" w:cs="宋体"/>
                <w:szCs w:val="21"/>
              </w:rPr>
              <w:t>根据客户需求（外部信息）、企业内部状况及相关方要求，确定体系覆盖的范围：</w:t>
            </w:r>
          </w:p>
          <w:p>
            <w:pPr>
              <w:spacing w:line="360" w:lineRule="auto"/>
              <w:rPr>
                <w:rFonts w:hint="eastAsia" w:eastAsia="宋体"/>
                <w:sz w:val="20"/>
                <w:lang w:eastAsia="zh-CN"/>
              </w:rPr>
            </w:pPr>
            <w:bookmarkStart w:id="0" w:name="审核范围"/>
            <w:r>
              <w:rPr>
                <w:rFonts w:hint="eastAsia"/>
                <w:sz w:val="20"/>
              </w:rPr>
              <w:t>EC</w:t>
            </w:r>
            <w:r>
              <w:rPr>
                <w:sz w:val="20"/>
              </w:rPr>
              <w:t>：</w:t>
            </w:r>
            <w:r>
              <w:rPr>
                <w:rFonts w:hint="eastAsia"/>
                <w:sz w:val="20"/>
                <w:lang w:eastAsia="zh-CN"/>
              </w:rPr>
              <w:t>建筑机电安装工程、电子与智能化工程、防雷工程的施工、通信工程施工、仪器仪表，电子产品（建筑智能化系统工程产品）、机电产品（机电设备安装工程产品）的销售。</w:t>
            </w:r>
          </w:p>
          <w:bookmarkEnd w:id="0"/>
          <w:p>
            <w:pPr>
              <w:spacing w:line="360" w:lineRule="auto"/>
              <w:ind w:firstLine="420"/>
              <w:rPr>
                <w:color w:val="000000"/>
                <w:szCs w:val="21"/>
              </w:rPr>
            </w:pPr>
            <w:r>
              <w:rPr>
                <w:rFonts w:hint="eastAsia"/>
                <w:color w:val="000000"/>
                <w:szCs w:val="21"/>
              </w:rPr>
              <w:t>删减条款8.3。公司的顾客所需产品较为固定，不发生设计和开发活动，因此标准中的8.3“产品和服务的设计和开发”不适用。</w:t>
            </w:r>
          </w:p>
        </w:tc>
        <w:tc>
          <w:tcPr>
            <w:tcW w:w="1222"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900" w:type="dxa"/>
            <w:vAlign w:val="center"/>
          </w:tcPr>
          <w:p>
            <w:r>
              <w:rPr>
                <w:rFonts w:hint="eastAsia"/>
                <w:szCs w:val="21"/>
              </w:rPr>
              <w:t>管理体系及其过程</w:t>
            </w:r>
          </w:p>
        </w:tc>
        <w:tc>
          <w:tcPr>
            <w:tcW w:w="934" w:type="dxa"/>
            <w:vAlign w:val="center"/>
          </w:tcPr>
          <w:p>
            <w:pPr>
              <w:rPr>
                <w:szCs w:val="21"/>
              </w:rPr>
            </w:pPr>
            <w:r>
              <w:rPr>
                <w:rFonts w:hint="eastAsia"/>
                <w:szCs w:val="21"/>
              </w:rPr>
              <w:t>Q4.4</w:t>
            </w:r>
          </w:p>
          <w:p>
            <w:pPr>
              <w:rPr>
                <w:szCs w:val="21"/>
              </w:rPr>
            </w:pPr>
          </w:p>
          <w:p>
            <w:r>
              <w:rPr>
                <w:rFonts w:hint="eastAsia"/>
                <w:szCs w:val="21"/>
              </w:rPr>
              <w:t>J3.1</w:t>
            </w:r>
          </w:p>
        </w:tc>
        <w:tc>
          <w:tcPr>
            <w:tcW w:w="10653" w:type="dxa"/>
          </w:tcPr>
          <w:p>
            <w:pPr>
              <w:spacing w:line="360" w:lineRule="auto"/>
              <w:rPr>
                <w:rFonts w:hint="eastAsia"/>
              </w:rPr>
            </w:pPr>
            <w:r>
              <w:rPr>
                <w:rFonts w:hint="eastAsia"/>
              </w:rPr>
              <w:t>1.依据 GB/T19001-2016、GB/T50430-2017、GB/T24001-2016、ISO45001：2018标准，于2020年9月1日建立了质量、环境、职业健康安全管理体系。识别了标准中所需要的过程，确定了过程的相互顺序和作用：领导作用-策划-支持-运行-绩效评价-持续改进。</w:t>
            </w:r>
          </w:p>
          <w:p>
            <w:pPr>
              <w:spacing w:line="360" w:lineRule="auto"/>
              <w:rPr>
                <w:rFonts w:hint="eastAsia"/>
              </w:rPr>
            </w:pPr>
            <w:r>
              <w:rPr>
                <w:rFonts w:hint="eastAsia"/>
              </w:rPr>
              <w:t>2.公司明确规定产品执行标准（国家、行业标准）和客户要求，并通过各环节控制，监视、测量、考核使其达到有效运行。</w:t>
            </w:r>
          </w:p>
          <w:p>
            <w:pPr>
              <w:spacing w:line="360" w:lineRule="auto"/>
              <w:rPr>
                <w:rFonts w:hint="eastAsia"/>
              </w:rPr>
            </w:pPr>
            <w:r>
              <w:rPr>
                <w:rFonts w:hint="eastAsia"/>
              </w:rPr>
              <w:t>3.公司编制了管理手册、程序文件及作业管理性文件、记录表格等。通过管理手册、程序文件明确各部门职责、权限；资源管理，测量分析和改进、运行控制等过程。</w:t>
            </w:r>
          </w:p>
          <w:p>
            <w:pPr>
              <w:spacing w:line="360" w:lineRule="auto"/>
              <w:rPr>
                <w:rFonts w:hint="eastAsia"/>
              </w:rPr>
            </w:pPr>
            <w:r>
              <w:rPr>
                <w:rFonts w:hint="eastAsia"/>
              </w:rPr>
              <w:t>4.通过对各主要环节的风险评估，识别，评价并制定相应措施进行风险控制（包括实施过程中所需要的变更）。</w:t>
            </w:r>
          </w:p>
          <w:p>
            <w:pPr>
              <w:spacing w:line="360" w:lineRule="auto"/>
            </w:pPr>
            <w:r>
              <w:rPr>
                <w:rFonts w:hint="eastAsia"/>
              </w:rPr>
              <w:t>5、通过监视、测量和分析结果以及内审，管理评审等达到持续改进的目的。</w:t>
            </w:r>
          </w:p>
          <w:p>
            <w:pPr>
              <w:spacing w:line="360" w:lineRule="auto"/>
              <w:jc w:val="left"/>
              <w:rPr>
                <w:rFonts w:ascii="宋体" w:hAnsi="宋体" w:cs="宋体"/>
                <w:szCs w:val="21"/>
              </w:rPr>
            </w:pPr>
            <w:r>
              <w:rPr>
                <w:rFonts w:hint="eastAsia" w:ascii="宋体" w:hAnsi="宋体" w:cs="宋体"/>
                <w:szCs w:val="21"/>
              </w:rPr>
              <w:t>外包情况：</w:t>
            </w:r>
            <w:r>
              <w:rPr>
                <w:rFonts w:hint="eastAsia" w:ascii="宋体" w:hAnsi="宋体" w:cs="宋体"/>
                <w:szCs w:val="21"/>
                <w:lang w:val="en-US" w:eastAsia="zh-CN"/>
              </w:rPr>
              <w:t>无</w:t>
            </w:r>
            <w:r>
              <w:rPr>
                <w:rFonts w:hint="eastAsia" w:ascii="宋体" w:hAnsi="宋体" w:cs="宋体"/>
                <w:szCs w:val="21"/>
              </w:rPr>
              <w:t>。</w:t>
            </w:r>
          </w:p>
          <w:p>
            <w:pPr>
              <w:spacing w:line="360" w:lineRule="auto"/>
              <w:jc w:val="left"/>
              <w:rPr>
                <w:rFonts w:hint="eastAsia"/>
                <w:lang w:eastAsia="zh-CN"/>
              </w:rPr>
            </w:pPr>
            <w:r>
              <w:rPr>
                <w:rFonts w:hint="eastAsia"/>
              </w:rPr>
              <w:t>采用过程方法建立、实施管理体系，运用PDCA方式指导体系各过程运作，并将利及基于风险思考的方式，对管理体系过程进行了识别确定。公司建立文件化管理体系，有《管理手册》、《程序文件》、《管理制度》等</w:t>
            </w:r>
            <w:r>
              <w:rPr>
                <w:rFonts w:hint="eastAsia"/>
                <w:lang w:eastAsia="zh-CN"/>
              </w:rPr>
              <w:t>。</w:t>
            </w:r>
          </w:p>
          <w:p>
            <w:pPr>
              <w:spacing w:line="360" w:lineRule="auto"/>
              <w:jc w:val="left"/>
              <w:rPr>
                <w:rFonts w:hint="eastAsia"/>
                <w:lang w:val="en-US" w:eastAsia="zh-CN"/>
              </w:rPr>
            </w:pPr>
            <w:r>
              <w:rPr>
                <w:rFonts w:hint="eastAsia"/>
                <w:lang w:val="en-US" w:eastAsia="zh-CN"/>
              </w:rPr>
              <w:t>施工流程：开工报告—材料入场—敷缆、安装—试验、检验—交付；</w:t>
            </w:r>
          </w:p>
          <w:p>
            <w:pPr>
              <w:spacing w:line="360" w:lineRule="auto"/>
              <w:jc w:val="left"/>
              <w:rPr>
                <w:rFonts w:hint="eastAsia"/>
                <w:lang w:val="en-US" w:eastAsia="zh-CN"/>
              </w:rPr>
            </w:pPr>
            <w:r>
              <w:rPr>
                <w:rFonts w:hint="eastAsia"/>
                <w:lang w:val="en-US" w:eastAsia="zh-CN"/>
              </w:rPr>
              <w:t>销售服务流程：签订销售合同—实施采购—送货—检验—交付。</w:t>
            </w:r>
          </w:p>
          <w:p>
            <w:pPr>
              <w:spacing w:line="360" w:lineRule="auto"/>
              <w:jc w:val="left"/>
            </w:pPr>
            <w:r>
              <w:rPr>
                <w:rFonts w:hint="eastAsia"/>
              </w:rPr>
              <w:t>体系运行基本正常，符合要求。</w:t>
            </w:r>
          </w:p>
        </w:tc>
        <w:tc>
          <w:tcPr>
            <w:tcW w:w="1222"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900" w:type="dxa"/>
            <w:vAlign w:val="center"/>
          </w:tcPr>
          <w:p>
            <w:r>
              <w:rPr>
                <w:rFonts w:hint="eastAsia"/>
                <w:szCs w:val="21"/>
              </w:rPr>
              <w:t>管理承诺总则</w:t>
            </w:r>
          </w:p>
        </w:tc>
        <w:tc>
          <w:tcPr>
            <w:tcW w:w="934" w:type="dxa"/>
            <w:vAlign w:val="center"/>
          </w:tcPr>
          <w:p>
            <w:pPr>
              <w:rPr>
                <w:szCs w:val="21"/>
              </w:rPr>
            </w:pPr>
            <w:r>
              <w:rPr>
                <w:rFonts w:hint="eastAsia"/>
                <w:szCs w:val="21"/>
              </w:rPr>
              <w:t>Q5.1.1</w:t>
            </w:r>
          </w:p>
          <w:p>
            <w:r>
              <w:rPr>
                <w:rFonts w:hint="eastAsia"/>
                <w:szCs w:val="21"/>
              </w:rPr>
              <w:t>J4.3</w:t>
            </w:r>
          </w:p>
        </w:tc>
        <w:tc>
          <w:tcPr>
            <w:tcW w:w="10653" w:type="dxa"/>
            <w:vAlign w:val="center"/>
          </w:tcPr>
          <w:p>
            <w:pPr>
              <w:spacing w:line="360" w:lineRule="auto"/>
              <w:rPr>
                <w:rFonts w:hint="eastAsia" w:ascii="宋体" w:hAnsi="宋体" w:cs="宋体"/>
                <w:sz w:val="21"/>
                <w:szCs w:val="21"/>
              </w:rPr>
            </w:pPr>
            <w:r>
              <w:rPr>
                <w:rFonts w:hint="eastAsia" w:ascii="宋体" w:hAnsi="宋体" w:cs="宋体"/>
                <w:sz w:val="21"/>
                <w:szCs w:val="21"/>
              </w:rPr>
              <w:t>公司管理层利用会议、培训等方式，对全体员工进行了法律法规的学习、意识的培训。从而提高了员工的法律意识、以顾客为中心的意识。明确管理承诺。</w:t>
            </w:r>
          </w:p>
          <w:p>
            <w:pPr>
              <w:spacing w:line="360" w:lineRule="auto"/>
              <w:rPr>
                <w:rFonts w:hint="eastAsia" w:ascii="宋体" w:hAnsi="宋体" w:cs="宋体"/>
                <w:sz w:val="21"/>
                <w:szCs w:val="21"/>
              </w:rPr>
            </w:pPr>
            <w:r>
              <w:rPr>
                <w:rFonts w:hint="eastAsia" w:ascii="宋体" w:hAnsi="宋体" w:cs="宋体"/>
                <w:sz w:val="21"/>
                <w:szCs w:val="21"/>
              </w:rPr>
              <w:t>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环境/安全工作的投入，提供充分的资源，确保公司管理体系有效运行。目前各项工作基本得到实施，并取得了一定的效果。</w:t>
            </w:r>
          </w:p>
          <w:p>
            <w:pPr>
              <w:spacing w:line="360" w:lineRule="auto"/>
              <w:rPr>
                <w:rFonts w:ascii="宋体" w:hAnsi="宋体" w:cs="宋体"/>
                <w:sz w:val="21"/>
                <w:szCs w:val="21"/>
              </w:rPr>
            </w:pPr>
            <w:r>
              <w:rPr>
                <w:rFonts w:hint="eastAsia" w:ascii="宋体" w:hAnsi="宋体" w:cs="宋体"/>
                <w:sz w:val="21"/>
                <w:szCs w:val="21"/>
              </w:rPr>
              <w:t>公司要求每年进行一次顾客满意度的调查，以获取顾客对公司产品及服务的满意程度信息，用以改进企业的质量。</w:t>
            </w:r>
          </w:p>
        </w:tc>
        <w:tc>
          <w:tcPr>
            <w:tcW w:w="1222"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900" w:type="dxa"/>
          </w:tcPr>
          <w:p>
            <w:pPr>
              <w:spacing w:line="360" w:lineRule="auto"/>
            </w:pPr>
            <w:r>
              <w:rPr>
                <w:rFonts w:hint="eastAsia"/>
              </w:rPr>
              <w:t>以顾客为关注焦点</w:t>
            </w:r>
          </w:p>
          <w:p>
            <w:pPr>
              <w:spacing w:line="360" w:lineRule="auto"/>
            </w:pPr>
          </w:p>
        </w:tc>
        <w:tc>
          <w:tcPr>
            <w:tcW w:w="934" w:type="dxa"/>
          </w:tcPr>
          <w:p>
            <w:pPr>
              <w:spacing w:line="360" w:lineRule="auto"/>
            </w:pPr>
            <w:r>
              <w:rPr>
                <w:rFonts w:hint="eastAsia"/>
              </w:rPr>
              <w:t>Q5.1.2</w:t>
            </w:r>
          </w:p>
          <w:p>
            <w:pPr>
              <w:spacing w:line="360" w:lineRule="auto"/>
            </w:pPr>
          </w:p>
        </w:tc>
        <w:tc>
          <w:tcPr>
            <w:tcW w:w="10653" w:type="dxa"/>
            <w:vAlign w:val="center"/>
          </w:tcPr>
          <w:p>
            <w:pPr>
              <w:spacing w:line="360" w:lineRule="auto"/>
              <w:ind w:firstLine="420" w:firstLineChars="200"/>
              <w:rPr>
                <w:rFonts w:ascii="宋体" w:hAnsi="宋体" w:cs="宋体"/>
                <w:szCs w:val="21"/>
              </w:rPr>
            </w:pPr>
            <w:r>
              <w:rPr>
                <w:rFonts w:hint="eastAsia" w:ascii="宋体" w:hAnsi="宋体" w:cs="宋体"/>
                <w:szCs w:val="21"/>
              </w:rPr>
              <w:t>总经理证实其以顾客为关注焦点的领导作用和承诺，通过以下方面实现：</w:t>
            </w:r>
          </w:p>
          <w:p>
            <w:pPr>
              <w:spacing w:line="360" w:lineRule="auto"/>
              <w:ind w:firstLine="420" w:firstLineChars="200"/>
              <w:rPr>
                <w:rFonts w:hint="eastAsia" w:ascii="宋体" w:hAnsi="宋体" w:cs="宋体"/>
                <w:szCs w:val="21"/>
              </w:rPr>
            </w:pPr>
            <w:r>
              <w:rPr>
                <w:rFonts w:hint="eastAsia" w:ascii="宋体" w:hAnsi="宋体" w:cs="宋体"/>
                <w:szCs w:val="21"/>
              </w:rPr>
              <w:t>a）确定、理解并持续满足顾客要求以及适用的法律法规要求，</w:t>
            </w:r>
            <w:r>
              <w:rPr>
                <w:rFonts w:hint="eastAsia" w:ascii="宋体" w:hAnsi="宋体" w:cs="宋体"/>
                <w:szCs w:val="21"/>
                <w:lang w:eastAsia="zh-CN"/>
              </w:rPr>
              <w:t>行政部</w:t>
            </w:r>
            <w:r>
              <w:rPr>
                <w:rFonts w:hint="eastAsia" w:ascii="宋体" w:hAnsi="宋体" w:cs="宋体"/>
                <w:szCs w:val="21"/>
              </w:rPr>
              <w:t>编制适用的与</w:t>
            </w:r>
            <w:r>
              <w:rPr>
                <w:rFonts w:hint="eastAsia" w:ascii="宋体" w:hAnsi="宋体" w:cs="宋体"/>
                <w:szCs w:val="21"/>
                <w:lang w:eastAsia="zh-CN"/>
              </w:rPr>
              <w:t>建筑机电安装工程、电子与智能化工程、防雷工程的施工、通信工程施工、仪器仪表，电子产品（建筑智能化系统工程产品）、机电产品（机电设备安装工程产品）的销售</w:t>
            </w:r>
            <w:r>
              <w:rPr>
                <w:rFonts w:hint="eastAsia" w:ascii="宋体" w:hAnsi="宋体" w:cs="宋体"/>
                <w:szCs w:val="21"/>
              </w:rPr>
              <w:t>有关的法律、法规清单。</w:t>
            </w:r>
          </w:p>
          <w:p>
            <w:pPr>
              <w:spacing w:line="360" w:lineRule="auto"/>
              <w:rPr>
                <w:rFonts w:hint="eastAsia" w:ascii="宋体" w:hAnsi="宋体" w:cs="宋体"/>
                <w:szCs w:val="21"/>
              </w:rPr>
            </w:pPr>
            <w:r>
              <w:rPr>
                <w:rFonts w:hint="eastAsia" w:ascii="宋体" w:hAnsi="宋体" w:cs="宋体"/>
                <w:szCs w:val="21"/>
              </w:rPr>
              <w:t xml:space="preserve">    b）确定和应对能够影响产品、服务符合性以及增强顾客满意能力的风险和机遇；</w:t>
            </w:r>
          </w:p>
          <w:p>
            <w:pPr>
              <w:spacing w:line="360" w:lineRule="auto"/>
              <w:ind w:firstLine="480"/>
              <w:rPr>
                <w:rFonts w:ascii="宋体" w:hAnsi="宋体" w:cs="宋体"/>
                <w:szCs w:val="21"/>
              </w:rPr>
            </w:pPr>
            <w:r>
              <w:rPr>
                <w:rFonts w:hint="eastAsia" w:ascii="宋体" w:hAnsi="宋体" w:cs="宋体"/>
                <w:szCs w:val="21"/>
              </w:rPr>
              <w:t>c）始终致力于增强顾客满意。</w:t>
            </w:r>
            <w:r>
              <w:rPr>
                <w:rFonts w:hint="eastAsia" w:ascii="宋体" w:hAnsi="宋体" w:cs="宋体"/>
                <w:szCs w:val="21"/>
              </w:rPr>
              <w:br w:type="textWrapping"/>
            </w:r>
            <w:r>
              <w:rPr>
                <w:rFonts w:hint="eastAsia" w:ascii="宋体" w:hAnsi="宋体" w:cs="宋体"/>
                <w:szCs w:val="21"/>
              </w:rPr>
              <w:t>详见审核Q9.1.2条款记录。</w:t>
            </w:r>
          </w:p>
        </w:tc>
        <w:tc>
          <w:tcPr>
            <w:tcW w:w="1222"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900" w:type="dxa"/>
            <w:vAlign w:val="center"/>
          </w:tcPr>
          <w:p>
            <w:r>
              <w:rPr>
                <w:rFonts w:hint="eastAsia"/>
                <w:szCs w:val="21"/>
              </w:rPr>
              <w:t>管理方针</w:t>
            </w:r>
          </w:p>
        </w:tc>
        <w:tc>
          <w:tcPr>
            <w:tcW w:w="934" w:type="dxa"/>
            <w:vAlign w:val="center"/>
          </w:tcPr>
          <w:p>
            <w:pPr>
              <w:rPr>
                <w:szCs w:val="21"/>
              </w:rPr>
            </w:pPr>
            <w:r>
              <w:rPr>
                <w:rFonts w:hint="eastAsia"/>
                <w:szCs w:val="21"/>
              </w:rPr>
              <w:t>Q5.2</w:t>
            </w:r>
          </w:p>
          <w:p>
            <w:r>
              <w:rPr>
                <w:rFonts w:hint="eastAsia"/>
                <w:szCs w:val="21"/>
              </w:rPr>
              <w:t>J3.2</w:t>
            </w:r>
          </w:p>
        </w:tc>
        <w:tc>
          <w:tcPr>
            <w:tcW w:w="10653" w:type="dxa"/>
            <w:vAlign w:val="center"/>
          </w:tcPr>
          <w:p>
            <w:pPr>
              <w:spacing w:line="360" w:lineRule="auto"/>
              <w:rPr>
                <w:rFonts w:ascii="宋体" w:hAnsi="宋体" w:cs="宋体"/>
                <w:szCs w:val="21"/>
              </w:rPr>
            </w:pPr>
            <w:r>
              <w:rPr>
                <w:rFonts w:hint="eastAsia" w:ascii="宋体" w:hAnsi="宋体" w:cs="宋体"/>
                <w:szCs w:val="21"/>
              </w:rPr>
              <w:t>该公司管理方针：</w:t>
            </w:r>
          </w:p>
          <w:p>
            <w:pPr>
              <w:spacing w:line="360" w:lineRule="auto"/>
              <w:ind w:firstLine="420" w:firstLineChars="200"/>
              <w:rPr>
                <w:rFonts w:hint="eastAsia" w:ascii="宋体" w:hAnsi="宋体" w:cs="宋体"/>
                <w:szCs w:val="21"/>
              </w:rPr>
            </w:pPr>
            <w:r>
              <w:rPr>
                <w:rFonts w:hint="eastAsia" w:ascii="宋体" w:hAnsi="宋体" w:cs="宋体"/>
                <w:szCs w:val="21"/>
              </w:rPr>
              <w:t>质量、环境、职业健康安全方针：顾客至上、优质高效；保护环境、减污降噪；以人为本、安全生产；遵纪守法、持续改进；提高素质、构建和谐。</w:t>
            </w:r>
          </w:p>
          <w:p>
            <w:pPr>
              <w:spacing w:line="360" w:lineRule="auto"/>
              <w:ind w:firstLine="420" w:firstLineChars="200"/>
              <w:rPr>
                <w:rFonts w:ascii="宋体" w:hAnsi="宋体" w:cs="宋体"/>
                <w:szCs w:val="21"/>
              </w:rPr>
            </w:pPr>
            <w:r>
              <w:rPr>
                <w:rFonts w:hint="eastAsia" w:ascii="宋体" w:hAnsi="宋体" w:cs="宋体"/>
                <w:szCs w:val="21"/>
              </w:rPr>
              <w:t>公司以质量、环境、职业健康安全标准为基础，结合公司实际特制定管理方针。与总经理进行交谈，总经理对方针内涵的理解较深刻。方针能为制定目标提供框架，方针基本符合标准的要求。</w:t>
            </w:r>
          </w:p>
          <w:p>
            <w:pPr>
              <w:spacing w:line="360" w:lineRule="auto"/>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总经理用会议、文件等手段保证管理方针为全体员工理解并落实到工作中。总经理说管理评审时对方针的持续适宜性进行了评审，有评审记录。</w:t>
            </w:r>
          </w:p>
          <w:p>
            <w:pPr>
              <w:spacing w:line="360" w:lineRule="auto"/>
              <w:ind w:firstLine="420" w:firstLineChars="200"/>
              <w:rPr>
                <w:rFonts w:ascii="宋体" w:hAnsi="宋体" w:cs="宋体"/>
                <w:szCs w:val="21"/>
              </w:rPr>
            </w:pPr>
            <w:r>
              <w:rPr>
                <w:rFonts w:hint="eastAsia" w:ascii="宋体" w:hAnsi="宋体" w:cs="宋体"/>
                <w:szCs w:val="21"/>
              </w:rPr>
              <w:t>以上管理方针通过文件、培训等形式将公司管理方针传达给所有为公司工作或代表公司的人员，相关方也可通过</w:t>
            </w:r>
            <w:r>
              <w:rPr>
                <w:rFonts w:hint="eastAsia" w:ascii="宋体" w:hAnsi="宋体" w:cs="宋体"/>
                <w:szCs w:val="21"/>
                <w:lang w:eastAsia="zh-CN"/>
              </w:rPr>
              <w:t>行政部</w:t>
            </w:r>
            <w:r>
              <w:rPr>
                <w:rFonts w:hint="eastAsia" w:ascii="宋体" w:hAnsi="宋体" w:cs="宋体"/>
                <w:szCs w:val="21"/>
              </w:rPr>
              <w:t>获取公司管理方针。</w:t>
            </w:r>
          </w:p>
        </w:tc>
        <w:tc>
          <w:tcPr>
            <w:tcW w:w="1222"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900" w:type="dxa"/>
            <w:vAlign w:val="center"/>
          </w:tcPr>
          <w:p>
            <w:r>
              <w:rPr>
                <w:rFonts w:hint="eastAsia"/>
                <w:szCs w:val="21"/>
              </w:rPr>
              <w:t>组织的岗位、职责权限</w:t>
            </w:r>
          </w:p>
        </w:tc>
        <w:tc>
          <w:tcPr>
            <w:tcW w:w="934" w:type="dxa"/>
            <w:vAlign w:val="center"/>
          </w:tcPr>
          <w:p>
            <w:pPr>
              <w:rPr>
                <w:szCs w:val="21"/>
              </w:rPr>
            </w:pPr>
            <w:r>
              <w:rPr>
                <w:rFonts w:hint="eastAsia"/>
                <w:szCs w:val="21"/>
              </w:rPr>
              <w:t>Q5.3</w:t>
            </w:r>
          </w:p>
          <w:p>
            <w:r>
              <w:rPr>
                <w:rFonts w:hint="eastAsia"/>
                <w:szCs w:val="21"/>
              </w:rPr>
              <w:t>J4.3</w:t>
            </w:r>
          </w:p>
        </w:tc>
        <w:tc>
          <w:tcPr>
            <w:tcW w:w="10653" w:type="dxa"/>
            <w:vAlign w:val="center"/>
          </w:tcPr>
          <w:p>
            <w:pPr>
              <w:spacing w:line="360" w:lineRule="auto"/>
              <w:ind w:firstLine="420" w:firstLineChars="200"/>
              <w:rPr>
                <w:rFonts w:ascii="宋体" w:hAnsi="宋体" w:cs="宋体"/>
                <w:szCs w:val="21"/>
              </w:rPr>
            </w:pPr>
            <w:r>
              <w:rPr>
                <w:rFonts w:hint="eastAsia" w:ascii="宋体" w:hAnsi="宋体" w:cs="宋体"/>
                <w:szCs w:val="21"/>
              </w:rPr>
              <w:t>确定了部门、各岗位人员职责、权限和相互关系，并在公司内对各级员工进行了必要的传达。对从事有关的管理、执行和验证人员规定其职责、权限及其相互关系，以实现公司管理方针和管理目标。建立、实施和保持公司管理体系所需的过程，公司设置了</w:t>
            </w:r>
            <w:r>
              <w:rPr>
                <w:rFonts w:hint="eastAsia"/>
                <w:color w:val="000000"/>
                <w:szCs w:val="21"/>
                <w:lang w:eastAsia="zh-CN"/>
              </w:rPr>
              <w:t>行政部</w:t>
            </w:r>
            <w:r>
              <w:rPr>
                <w:rFonts w:hint="eastAsia"/>
                <w:color w:val="000000"/>
                <w:szCs w:val="21"/>
              </w:rPr>
              <w:t>、</w:t>
            </w:r>
            <w:r>
              <w:rPr>
                <w:rFonts w:hint="eastAsia"/>
                <w:color w:val="000000"/>
                <w:szCs w:val="21"/>
                <w:lang w:val="en-US" w:eastAsia="zh-CN"/>
              </w:rPr>
              <w:t>市场部</w:t>
            </w:r>
            <w:r>
              <w:rPr>
                <w:rFonts w:hint="eastAsia"/>
                <w:color w:val="000000"/>
                <w:szCs w:val="21"/>
              </w:rPr>
              <w:t>、</w:t>
            </w:r>
            <w:r>
              <w:rPr>
                <w:rFonts w:hint="eastAsia"/>
                <w:color w:val="000000"/>
                <w:szCs w:val="21"/>
                <w:lang w:val="en-US" w:eastAsia="zh-CN"/>
              </w:rPr>
              <w:t>工程部</w:t>
            </w:r>
            <w:r>
              <w:rPr>
                <w:rFonts w:hint="eastAsia" w:ascii="宋体" w:hAnsi="宋体" w:cs="宋体"/>
                <w:szCs w:val="21"/>
              </w:rPr>
              <w:t>，并对各部门的职能进行了分配和规定。职业健康安全管理事务代表任命为</w:t>
            </w:r>
            <w:r>
              <w:rPr>
                <w:rFonts w:hint="eastAsia" w:ascii="宋体" w:hAnsi="宋体" w:cs="宋体"/>
                <w:szCs w:val="21"/>
                <w:lang w:val="en-US" w:eastAsia="zh-CN"/>
              </w:rPr>
              <w:t>焦兴武</w:t>
            </w:r>
            <w:r>
              <w:rPr>
                <w:rFonts w:hint="eastAsia" w:ascii="宋体" w:hAnsi="宋体" w:cs="宋体"/>
                <w:szCs w:val="21"/>
              </w:rPr>
              <w:t>，公司对履行事务代表以及非管理类工作人员的协商与参与职责进行了规定。公司决定任命</w:t>
            </w:r>
            <w:r>
              <w:rPr>
                <w:rFonts w:hint="eastAsia" w:ascii="宋体" w:hAnsi="宋体" w:cs="宋体"/>
                <w:szCs w:val="21"/>
                <w:lang w:val="en-US" w:eastAsia="zh-CN"/>
              </w:rPr>
              <w:t>李苏燕</w:t>
            </w:r>
            <w:r>
              <w:rPr>
                <w:rFonts w:hint="eastAsia" w:ascii="宋体" w:hAnsi="宋体" w:cs="宋体"/>
                <w:szCs w:val="21"/>
              </w:rPr>
              <w:t>为管理体系的管理者代表。对其职责和权限规定如下：</w:t>
            </w:r>
          </w:p>
          <w:p>
            <w:pPr>
              <w:spacing w:line="360" w:lineRule="auto"/>
              <w:ind w:firstLine="420" w:firstLineChars="200"/>
              <w:rPr>
                <w:rFonts w:ascii="宋体" w:hAnsi="宋体" w:cs="宋体"/>
                <w:szCs w:val="21"/>
              </w:rPr>
            </w:pPr>
            <w:r>
              <w:rPr>
                <w:rFonts w:hint="eastAsia" w:ascii="宋体" w:hAnsi="宋体" w:cs="宋体"/>
                <w:szCs w:val="21"/>
              </w:rPr>
              <w:t>确保质量环境职业健康安全管理体系的过程得到建立、实施和保持；向最高管理者报告质量环境职业健康安全管理体系的业绩和任何改进的需求；在整个组织内贯彻环境保护及职业健康安全意识，促进顾客要求意识的形成；就质量环境职业健康安全管理体系有关事宜对外联络，负责与认证机构联络与协调方面的事项。</w:t>
            </w:r>
          </w:p>
          <w:p>
            <w:pPr>
              <w:spacing w:line="360" w:lineRule="auto"/>
              <w:ind w:firstLine="420" w:firstLineChars="200"/>
              <w:rPr>
                <w:rFonts w:ascii="宋体" w:hAnsi="宋体" w:cs="宋体"/>
                <w:szCs w:val="21"/>
              </w:rPr>
            </w:pPr>
            <w:r>
              <w:rPr>
                <w:rFonts w:hint="eastAsia" w:ascii="宋体" w:hAnsi="宋体" w:cs="宋体"/>
                <w:szCs w:val="21"/>
              </w:rPr>
              <w:t>询问管代</w:t>
            </w:r>
            <w:r>
              <w:rPr>
                <w:rFonts w:hint="eastAsia" w:ascii="宋体" w:hAnsi="宋体" w:cs="宋体"/>
                <w:szCs w:val="21"/>
                <w:lang w:val="en-US" w:eastAsia="zh-CN"/>
              </w:rPr>
              <w:t>李苏燕</w:t>
            </w:r>
            <w:r>
              <w:rPr>
                <w:rFonts w:hint="eastAsia" w:ascii="宋体" w:hAnsi="宋体" w:cs="宋体"/>
                <w:szCs w:val="21"/>
              </w:rPr>
              <w:t>职责回答正确。</w:t>
            </w:r>
          </w:p>
        </w:tc>
        <w:tc>
          <w:tcPr>
            <w:tcW w:w="1222"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900" w:type="dxa"/>
            <w:vAlign w:val="center"/>
          </w:tcPr>
          <w:p>
            <w:pPr>
              <w:spacing w:line="360" w:lineRule="auto"/>
              <w:rPr>
                <w:rFonts w:hint="eastAsia"/>
                <w:szCs w:val="21"/>
              </w:rPr>
            </w:pPr>
            <w:r>
              <w:rPr>
                <w:rFonts w:hint="eastAsia"/>
                <w:szCs w:val="21"/>
              </w:rPr>
              <w:t>应对风险和机会的策划</w:t>
            </w:r>
          </w:p>
        </w:tc>
        <w:tc>
          <w:tcPr>
            <w:tcW w:w="934" w:type="dxa"/>
            <w:vAlign w:val="center"/>
          </w:tcPr>
          <w:p>
            <w:pPr>
              <w:spacing w:line="360" w:lineRule="auto"/>
              <w:rPr>
                <w:szCs w:val="21"/>
              </w:rPr>
            </w:pPr>
            <w:r>
              <w:rPr>
                <w:rFonts w:hint="eastAsia"/>
                <w:szCs w:val="21"/>
              </w:rPr>
              <w:t>Q6.1</w:t>
            </w:r>
          </w:p>
          <w:p>
            <w:pPr>
              <w:spacing w:line="360" w:lineRule="auto"/>
              <w:rPr>
                <w:rFonts w:hint="eastAsia"/>
                <w:szCs w:val="21"/>
              </w:rPr>
            </w:pPr>
            <w:r>
              <w:rPr>
                <w:rFonts w:hint="eastAsia"/>
                <w:szCs w:val="21"/>
              </w:rPr>
              <w:t>J12.3-5</w:t>
            </w:r>
          </w:p>
        </w:tc>
        <w:tc>
          <w:tcPr>
            <w:tcW w:w="10653" w:type="dxa"/>
            <w:vAlign w:val="center"/>
          </w:tcPr>
          <w:p>
            <w:pPr>
              <w:pStyle w:val="2"/>
              <w:spacing w:line="360" w:lineRule="auto"/>
              <w:rPr>
                <w:rFonts w:hint="eastAsia"/>
                <w:sz w:val="21"/>
                <w:szCs w:val="21"/>
                <w:highlight w:val="none"/>
              </w:rPr>
            </w:pPr>
            <w:r>
              <w:rPr>
                <w:rFonts w:hint="eastAsia"/>
                <w:sz w:val="21"/>
                <w:szCs w:val="21"/>
              </w:rPr>
              <w:t>制定了</w:t>
            </w:r>
            <w:r>
              <w:rPr>
                <w:rFonts w:hint="eastAsia"/>
                <w:sz w:val="21"/>
                <w:szCs w:val="21"/>
                <w:highlight w:val="none"/>
              </w:rPr>
              <w:t>《危险源辨识、风险评价和风险控制程序》。《风险管理计划》其中对风险和机遇内容、风险级别、应对措施、管理措施、实施时间等。提供《过程风险和机遇评估及应对措施评价表》、行政部负责，组织策划质量管理体系，确定了应对的风险和机遇，以保持体系的完整性。</w:t>
            </w:r>
          </w:p>
          <w:p>
            <w:pPr>
              <w:pStyle w:val="2"/>
              <w:spacing w:line="360" w:lineRule="auto"/>
              <w:rPr>
                <w:rFonts w:hint="eastAsia" w:ascii="宋体" w:hAnsi="宋体" w:cs="宋体"/>
                <w:szCs w:val="21"/>
              </w:rPr>
            </w:pPr>
            <w:r>
              <w:rPr>
                <w:rFonts w:hint="eastAsia"/>
                <w:sz w:val="21"/>
                <w:szCs w:val="21"/>
                <w:highlight w:val="none"/>
                <w:lang w:val="en-US" w:eastAsia="zh-CN"/>
              </w:rPr>
              <w:t>评价人：李苏燕、焦兴武等</w:t>
            </w:r>
            <w:r>
              <w:rPr>
                <w:rFonts w:hint="eastAsia"/>
                <w:sz w:val="21"/>
                <w:szCs w:val="21"/>
                <w:highlight w:val="none"/>
                <w:lang w:eastAsia="zh-CN"/>
              </w:rPr>
              <w:t>，</w:t>
            </w:r>
            <w:r>
              <w:rPr>
                <w:rFonts w:hint="eastAsia"/>
                <w:sz w:val="21"/>
                <w:szCs w:val="21"/>
                <w:highlight w:val="none"/>
                <w:lang w:val="en-US" w:eastAsia="zh-CN"/>
              </w:rPr>
              <w:t>考核人：孟宏涛</w:t>
            </w:r>
            <w:r>
              <w:rPr>
                <w:rFonts w:hint="eastAsia"/>
                <w:sz w:val="21"/>
                <w:szCs w:val="21"/>
                <w:highlight w:val="none"/>
                <w:lang w:eastAsia="zh-CN"/>
              </w:rPr>
              <w:t>，</w:t>
            </w:r>
            <w:r>
              <w:rPr>
                <w:rFonts w:hint="eastAsia"/>
                <w:sz w:val="21"/>
                <w:szCs w:val="21"/>
                <w:highlight w:val="none"/>
              </w:rPr>
              <w:t>批准：</w:t>
            </w:r>
            <w:r>
              <w:rPr>
                <w:rFonts w:hint="eastAsia"/>
                <w:sz w:val="21"/>
                <w:szCs w:val="21"/>
                <w:highlight w:val="none"/>
                <w:lang w:val="en-US" w:eastAsia="zh-CN"/>
              </w:rPr>
              <w:t>周东福</w:t>
            </w:r>
            <w:r>
              <w:rPr>
                <w:rFonts w:hint="eastAsia"/>
                <w:sz w:val="21"/>
                <w:szCs w:val="21"/>
                <w:highlight w:val="none"/>
              </w:rPr>
              <w:t>，时间20</w:t>
            </w:r>
            <w:r>
              <w:rPr>
                <w:rFonts w:hint="eastAsia"/>
                <w:sz w:val="21"/>
                <w:szCs w:val="21"/>
                <w:highlight w:val="none"/>
                <w:lang w:val="en-US" w:eastAsia="zh-CN"/>
              </w:rPr>
              <w:t>22.1.6</w:t>
            </w:r>
            <w:r>
              <w:rPr>
                <w:rFonts w:hint="eastAsia"/>
                <w:sz w:val="21"/>
                <w:szCs w:val="21"/>
                <w:highlight w:val="none"/>
              </w:rPr>
              <w:t>。</w:t>
            </w:r>
          </w:p>
        </w:tc>
        <w:tc>
          <w:tcPr>
            <w:tcW w:w="1222"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00" w:type="dxa"/>
            <w:vAlign w:val="center"/>
          </w:tcPr>
          <w:p>
            <w:r>
              <w:rPr>
                <w:rFonts w:hint="eastAsia"/>
                <w:szCs w:val="21"/>
              </w:rPr>
              <w:t>目标指标</w:t>
            </w:r>
          </w:p>
        </w:tc>
        <w:tc>
          <w:tcPr>
            <w:tcW w:w="934" w:type="dxa"/>
            <w:vAlign w:val="center"/>
          </w:tcPr>
          <w:p>
            <w:pPr>
              <w:rPr>
                <w:szCs w:val="21"/>
              </w:rPr>
            </w:pPr>
            <w:r>
              <w:rPr>
                <w:rFonts w:hint="eastAsia"/>
                <w:szCs w:val="21"/>
              </w:rPr>
              <w:t>Q6.2</w:t>
            </w:r>
          </w:p>
          <w:p>
            <w:r>
              <w:rPr>
                <w:rFonts w:hint="eastAsia"/>
                <w:szCs w:val="21"/>
              </w:rPr>
              <w:t>J3.2</w:t>
            </w:r>
          </w:p>
        </w:tc>
        <w:tc>
          <w:tcPr>
            <w:tcW w:w="10653" w:type="dxa"/>
            <w:vAlign w:val="center"/>
          </w:tcPr>
          <w:p>
            <w:pPr>
              <w:snapToGrid w:val="0"/>
              <w:spacing w:line="360" w:lineRule="auto"/>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snapToGrid w:val="0"/>
              <w:spacing w:line="360" w:lineRule="auto"/>
              <w:rPr>
                <w:rFonts w:ascii="宋体" w:hAnsi="宋体" w:cs="宋体"/>
                <w:szCs w:val="21"/>
              </w:rPr>
            </w:pPr>
            <w:r>
              <w:rPr>
                <w:rFonts w:hint="eastAsia" w:ascii="宋体" w:hAnsi="宋体" w:cs="宋体"/>
                <w:szCs w:val="21"/>
              </w:rPr>
              <w:t>公司管理目标及实现情况是：</w:t>
            </w:r>
          </w:p>
          <w:p>
            <w:pPr>
              <w:snapToGrid w:val="0"/>
              <w:spacing w:line="360" w:lineRule="auto"/>
              <w:rPr>
                <w:rFonts w:hint="eastAsia" w:ascii="宋体" w:hAnsi="宋体" w:cs="宋体"/>
                <w:szCs w:val="21"/>
              </w:rPr>
            </w:pPr>
            <w:r>
              <w:rPr>
                <w:rFonts w:hint="eastAsia" w:ascii="宋体" w:hAnsi="宋体" w:cs="宋体"/>
                <w:szCs w:val="21"/>
                <w:lang w:eastAsia="zh-CN"/>
              </w:rPr>
              <w:t>——</w:t>
            </w:r>
            <w:r>
              <w:rPr>
                <w:rFonts w:hint="eastAsia" w:ascii="宋体" w:hAnsi="宋体" w:cs="宋体"/>
                <w:szCs w:val="21"/>
              </w:rPr>
              <w:t>质量目标</w:t>
            </w:r>
          </w:p>
          <w:p>
            <w:pPr>
              <w:snapToGrid w:val="0"/>
              <w:spacing w:line="360" w:lineRule="auto"/>
              <w:rPr>
                <w:rFonts w:hint="eastAsia" w:ascii="宋体" w:hAnsi="宋体" w:cs="宋体"/>
                <w:szCs w:val="21"/>
              </w:rPr>
            </w:pPr>
            <w:r>
              <w:rPr>
                <w:rFonts w:hint="eastAsia" w:ascii="宋体" w:hAnsi="宋体" w:cs="宋体"/>
                <w:szCs w:val="21"/>
              </w:rPr>
              <w:t>1) 施工服务合格率100%;</w:t>
            </w:r>
          </w:p>
          <w:p>
            <w:pPr>
              <w:snapToGrid w:val="0"/>
              <w:spacing w:line="360" w:lineRule="auto"/>
              <w:rPr>
                <w:rFonts w:hint="eastAsia" w:ascii="宋体" w:hAnsi="宋体" w:cs="宋体"/>
                <w:szCs w:val="21"/>
              </w:rPr>
            </w:pPr>
            <w:r>
              <w:rPr>
                <w:rFonts w:hint="eastAsia" w:ascii="宋体" w:hAnsi="宋体" w:cs="宋体"/>
                <w:szCs w:val="21"/>
              </w:rPr>
              <w:t>2）顾客满意度≥90%；</w:t>
            </w:r>
          </w:p>
          <w:p>
            <w:pPr>
              <w:snapToGrid w:val="0"/>
              <w:spacing w:line="360" w:lineRule="auto"/>
              <w:ind w:firstLine="420" w:firstLineChars="200"/>
              <w:rPr>
                <w:rFonts w:ascii="宋体" w:hAnsi="宋体" w:cs="宋体"/>
                <w:szCs w:val="21"/>
              </w:rPr>
            </w:pPr>
            <w:r>
              <w:rPr>
                <w:rFonts w:hint="eastAsia" w:ascii="宋体" w:hAnsi="宋体" w:cs="宋体"/>
                <w:szCs w:val="21"/>
              </w:rPr>
              <w:t>目标可测量，与公司管理方针一致。</w:t>
            </w:r>
          </w:p>
          <w:p>
            <w:pPr>
              <w:snapToGrid w:val="0"/>
              <w:spacing w:line="360" w:lineRule="auto"/>
              <w:ind w:firstLine="420" w:firstLineChars="200"/>
              <w:rPr>
                <w:rFonts w:ascii="宋体" w:hAnsi="宋体" w:cs="宋体"/>
                <w:szCs w:val="21"/>
              </w:rPr>
            </w:pPr>
            <w:r>
              <w:rPr>
                <w:rFonts w:hint="eastAsia" w:ascii="宋体" w:hAnsi="宋体" w:cs="宋体"/>
                <w:szCs w:val="21"/>
              </w:rPr>
              <w:t>具体由</w:t>
            </w:r>
            <w:r>
              <w:rPr>
                <w:rFonts w:hint="eastAsia" w:ascii="宋体" w:hAnsi="宋体" w:cs="宋体"/>
                <w:szCs w:val="21"/>
                <w:lang w:eastAsia="zh-CN"/>
              </w:rPr>
              <w:t>行政部</w:t>
            </w:r>
            <w:r>
              <w:rPr>
                <w:rFonts w:hint="eastAsia" w:ascii="宋体" w:hAnsi="宋体" w:cs="宋体"/>
                <w:szCs w:val="21"/>
              </w:rPr>
              <w:t>按公司管理目标考核要求统计考核公司管理目标完成情况，提交管理评审会议。查到2</w:t>
            </w:r>
            <w:r>
              <w:rPr>
                <w:rFonts w:ascii="宋体" w:hAnsi="宋体" w:cs="宋体"/>
                <w:szCs w:val="21"/>
              </w:rPr>
              <w:t>02</w:t>
            </w:r>
            <w:r>
              <w:rPr>
                <w:rFonts w:hint="eastAsia" w:ascii="宋体" w:hAnsi="宋体" w:cs="宋体"/>
                <w:szCs w:val="21"/>
                <w:lang w:val="en-US" w:eastAsia="zh-CN"/>
              </w:rPr>
              <w:t>1</w:t>
            </w:r>
            <w:r>
              <w:rPr>
                <w:rFonts w:hint="eastAsia" w:ascii="宋体" w:hAnsi="宋体" w:cs="宋体"/>
                <w:szCs w:val="21"/>
              </w:rPr>
              <w:t>年公司管理目标完成情况，各项目标均已完成。</w:t>
            </w:r>
          </w:p>
          <w:p>
            <w:pPr>
              <w:snapToGrid w:val="0"/>
              <w:spacing w:line="360" w:lineRule="auto"/>
              <w:ind w:firstLine="420" w:firstLineChars="200"/>
              <w:rPr>
                <w:rFonts w:ascii="宋体" w:hAnsi="宋体" w:cs="宋体"/>
                <w:szCs w:val="21"/>
              </w:rPr>
            </w:pPr>
            <w:r>
              <w:rPr>
                <w:rFonts w:hint="eastAsia" w:ascii="宋体" w:hAnsi="宋体" w:cs="宋体"/>
                <w:szCs w:val="21"/>
              </w:rPr>
              <w:t>针对重要环境因素、不可接受风险制订了管理方案并予以实施，基本有效，详见审核</w:t>
            </w:r>
            <w:r>
              <w:rPr>
                <w:rFonts w:hint="eastAsia"/>
                <w:color w:val="000000"/>
                <w:szCs w:val="21"/>
                <w:lang w:eastAsia="zh-CN"/>
              </w:rPr>
              <w:t>工程部</w:t>
            </w:r>
            <w:r>
              <w:rPr>
                <w:rFonts w:hint="eastAsia" w:ascii="宋体" w:hAnsi="宋体" w:cs="宋体"/>
                <w:szCs w:val="21"/>
              </w:rPr>
              <w:t>、</w:t>
            </w:r>
            <w:r>
              <w:rPr>
                <w:rFonts w:hint="eastAsia" w:ascii="宋体" w:hAnsi="宋体" w:cs="宋体"/>
                <w:szCs w:val="21"/>
                <w:lang w:eastAsia="zh-CN"/>
              </w:rPr>
              <w:t>行政部</w:t>
            </w:r>
            <w:r>
              <w:rPr>
                <w:rFonts w:hint="eastAsia" w:ascii="宋体" w:hAnsi="宋体" w:cs="宋体"/>
                <w:szCs w:val="21"/>
              </w:rPr>
              <w:t>该条款记录。</w:t>
            </w:r>
          </w:p>
        </w:tc>
        <w:tc>
          <w:tcPr>
            <w:tcW w:w="1222"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1900" w:type="dxa"/>
            <w:vAlign w:val="center"/>
          </w:tcPr>
          <w:p>
            <w:r>
              <w:rPr>
                <w:rFonts w:hint="eastAsia" w:asciiTheme="minorEastAsia" w:hAnsiTheme="minorEastAsia" w:eastAsiaTheme="minorEastAsia"/>
                <w:szCs w:val="21"/>
              </w:rPr>
              <w:t>变更的策划</w:t>
            </w:r>
          </w:p>
        </w:tc>
        <w:tc>
          <w:tcPr>
            <w:tcW w:w="934" w:type="dxa"/>
            <w:vAlign w:val="center"/>
          </w:tcPr>
          <w:p>
            <w:pPr>
              <w:rPr>
                <w:rFonts w:hint="eastAsia" w:ascii="Times New Roman" w:hAnsi="Times New Roman" w:cs="Times New Roman"/>
                <w:szCs w:val="21"/>
              </w:rPr>
            </w:pPr>
            <w:r>
              <w:rPr>
                <w:rFonts w:hint="eastAsia" w:ascii="Times New Roman" w:hAnsi="Times New Roman" w:cs="Times New Roman"/>
                <w:szCs w:val="21"/>
              </w:rPr>
              <w:t>Q:6.3</w:t>
            </w:r>
          </w:p>
          <w:p>
            <w:r>
              <w:rPr>
                <w:rFonts w:hint="eastAsia" w:ascii="Times New Roman" w:hAnsi="Times New Roman" w:cs="Times New Roman"/>
                <w:szCs w:val="21"/>
              </w:rPr>
              <w:t>J3.4</w:t>
            </w:r>
          </w:p>
        </w:tc>
        <w:tc>
          <w:tcPr>
            <w:tcW w:w="10653" w:type="dxa"/>
            <w:vAlign w:val="center"/>
          </w:tcPr>
          <w:p>
            <w:pPr>
              <w:spacing w:line="360" w:lineRule="auto"/>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在《管理手册》中明确“变更的策划”的要求。</w:t>
            </w:r>
          </w:p>
          <w:p>
            <w:pPr>
              <w:spacing w:line="360" w:lineRule="auto"/>
              <w:ind w:firstLine="420" w:firstLineChars="200"/>
              <w:rPr>
                <w:rFonts w:ascii="宋体" w:hAnsi="宋体" w:cs="宋体"/>
                <w:szCs w:val="21"/>
              </w:rPr>
            </w:pPr>
            <w:r>
              <w:rPr>
                <w:rFonts w:hint="eastAsia" w:ascii="宋体" w:hAnsi="宋体" w:cs="宋体"/>
                <w:szCs w:val="21"/>
              </w:rPr>
              <w:t>当组织确定需要对管理体系进行变更时，变更应按所策划的方式实施组织应考虑4个方面要求。</w:t>
            </w:r>
          </w:p>
          <w:p>
            <w:pPr>
              <w:spacing w:line="360" w:lineRule="auto"/>
              <w:ind w:firstLine="420" w:firstLineChars="200"/>
              <w:rPr>
                <w:rFonts w:ascii="宋体" w:hAnsi="宋体" w:cs="宋体"/>
                <w:szCs w:val="21"/>
              </w:rPr>
            </w:pPr>
            <w:r>
              <w:rPr>
                <w:rFonts w:hint="eastAsia" w:ascii="宋体" w:hAnsi="宋体" w:cs="宋体"/>
                <w:szCs w:val="21"/>
                <w:lang w:val="en-US" w:eastAsia="zh-CN"/>
              </w:rPr>
              <w:t>上次审核至今未发生</w:t>
            </w:r>
            <w:r>
              <w:rPr>
                <w:rFonts w:hint="eastAsia" w:ascii="宋体" w:hAnsi="宋体" w:cs="宋体"/>
                <w:szCs w:val="21"/>
              </w:rPr>
              <w:t>变更。</w:t>
            </w:r>
          </w:p>
        </w:tc>
        <w:tc>
          <w:tcPr>
            <w:tcW w:w="1222"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900" w:type="dxa"/>
            <w:vAlign w:val="center"/>
          </w:tcPr>
          <w:p>
            <w:r>
              <w:rPr>
                <w:rFonts w:hint="eastAsia"/>
                <w:szCs w:val="21"/>
              </w:rPr>
              <w:t>资源提供</w:t>
            </w:r>
          </w:p>
        </w:tc>
        <w:tc>
          <w:tcPr>
            <w:tcW w:w="934" w:type="dxa"/>
            <w:vAlign w:val="center"/>
          </w:tcPr>
          <w:p>
            <w:pPr>
              <w:rPr>
                <w:szCs w:val="21"/>
              </w:rPr>
            </w:pPr>
            <w:r>
              <w:rPr>
                <w:rFonts w:hint="eastAsia"/>
                <w:szCs w:val="21"/>
              </w:rPr>
              <w:t>Q7.1.1</w:t>
            </w:r>
          </w:p>
          <w:p>
            <w:r>
              <w:rPr>
                <w:rFonts w:hint="eastAsia"/>
                <w:szCs w:val="21"/>
              </w:rPr>
              <w:t>J3.4.1</w:t>
            </w:r>
          </w:p>
        </w:tc>
        <w:tc>
          <w:tcPr>
            <w:tcW w:w="10653" w:type="dxa"/>
            <w:vAlign w:val="center"/>
          </w:tcPr>
          <w:p>
            <w:pPr>
              <w:spacing w:line="360" w:lineRule="auto"/>
              <w:rPr>
                <w:szCs w:val="21"/>
              </w:rPr>
            </w:pPr>
            <w:r>
              <w:rPr>
                <w:rFonts w:hint="eastAsia"/>
                <w:szCs w:val="21"/>
              </w:rPr>
              <w:t>总经理/体系负责人介绍</w:t>
            </w:r>
          </w:p>
          <w:p>
            <w:pPr>
              <w:spacing w:line="360" w:lineRule="auto"/>
              <w:ind w:firstLine="420" w:firstLineChars="200"/>
              <w:rPr>
                <w:szCs w:val="21"/>
              </w:rPr>
            </w:pPr>
            <w:r>
              <w:rPr>
                <w:rFonts w:hint="eastAsia"/>
                <w:szCs w:val="21"/>
              </w:rPr>
              <w:t>组织能确定并提供建立、实施、保持管理体系所需的资源，包括内部资源，考虑现有内部资源的能力，将增加人员的引进和培训，提高服务能力，并适时考虑外部资源（从外部供方获得的资源）。</w:t>
            </w:r>
          </w:p>
          <w:p>
            <w:pPr>
              <w:spacing w:line="360" w:lineRule="auto"/>
              <w:ind w:firstLine="420" w:firstLineChars="200"/>
              <w:rPr>
                <w:szCs w:val="21"/>
              </w:rPr>
            </w:pPr>
            <w:r>
              <w:rPr>
                <w:rFonts w:hint="eastAsia"/>
                <w:szCs w:val="21"/>
              </w:rPr>
              <w:t>覆盖产品/服务/活动及体系运行所需的资源，主要有：</w:t>
            </w:r>
          </w:p>
          <w:p>
            <w:pPr>
              <w:spacing w:line="360" w:lineRule="auto"/>
              <w:ind w:firstLine="420" w:firstLineChars="200"/>
              <w:rPr>
                <w:szCs w:val="21"/>
              </w:rPr>
            </w:pPr>
            <w:r>
              <w:rPr>
                <w:rFonts w:hint="eastAsia" w:ascii="Times New Roman" w:hAnsi="Times New Roman" w:cs="Times New Roman"/>
                <w:szCs w:val="21"/>
              </w:rPr>
              <w:t>总共员工</w:t>
            </w:r>
            <w:r>
              <w:rPr>
                <w:rFonts w:hint="eastAsia" w:ascii="Times New Roman" w:hAnsi="Times New Roman" w:cs="Times New Roman"/>
                <w:szCs w:val="21"/>
                <w:lang w:val="en-US" w:eastAsia="zh-CN"/>
              </w:rPr>
              <w:t>40</w:t>
            </w:r>
            <w:r>
              <w:rPr>
                <w:rFonts w:hint="eastAsia" w:ascii="Times New Roman" w:hAnsi="Times New Roman" w:cs="Times New Roman"/>
                <w:szCs w:val="21"/>
              </w:rPr>
              <w:t>人，具备</w:t>
            </w:r>
            <w:r>
              <w:rPr>
                <w:rFonts w:hint="eastAsia" w:ascii="Times New Roman" w:hAnsi="Times New Roman" w:cs="Times New Roman"/>
                <w:szCs w:val="21"/>
                <w:lang w:eastAsia="zh-CN"/>
              </w:rPr>
              <w:t>建筑机电安装工程、电子与智能化工程、防雷工程的施工、通信工程施工、仪器仪表，电子产品（建筑智能化系统工程产品）、机电产品（机电设备安装工程产品）的销售</w:t>
            </w:r>
            <w:r>
              <w:rPr>
                <w:rFonts w:hint="eastAsia" w:ascii="Times New Roman" w:hAnsi="Times New Roman" w:cs="Times New Roman"/>
                <w:szCs w:val="21"/>
              </w:rPr>
              <w:t>能力，</w:t>
            </w:r>
            <w:r>
              <w:rPr>
                <w:rFonts w:hint="eastAsia" w:ascii="Times New Roman" w:hAnsi="Times New Roman" w:cs="Times New Roman"/>
                <w:szCs w:val="21"/>
                <w:lang w:val="en-US" w:eastAsia="zh-CN"/>
              </w:rPr>
              <w:t>办公区</w:t>
            </w:r>
            <w:r>
              <w:rPr>
                <w:rFonts w:hint="eastAsia"/>
                <w:szCs w:val="21"/>
              </w:rPr>
              <w:t>占地面积约</w:t>
            </w:r>
            <w:r>
              <w:rPr>
                <w:rFonts w:hint="eastAsia"/>
                <w:szCs w:val="21"/>
                <w:lang w:val="en-US" w:eastAsia="zh-CN"/>
              </w:rPr>
              <w:t>173</w:t>
            </w:r>
            <w:r>
              <w:rPr>
                <w:rFonts w:hint="eastAsia"/>
                <w:szCs w:val="21"/>
              </w:rPr>
              <w:t>平方米</w:t>
            </w:r>
            <w:r>
              <w:rPr>
                <w:rFonts w:hint="eastAsia"/>
                <w:szCs w:val="21"/>
                <w:lang w:eastAsia="zh-CN"/>
              </w:rPr>
              <w:t>，</w:t>
            </w:r>
            <w:r>
              <w:rPr>
                <w:rFonts w:hint="eastAsia"/>
                <w:szCs w:val="21"/>
                <w:lang w:val="en-US" w:eastAsia="zh-CN"/>
              </w:rPr>
              <w:t>施工服务过程在甲方井场；</w:t>
            </w:r>
            <w:r>
              <w:rPr>
                <w:rFonts w:hint="eastAsia"/>
                <w:szCs w:val="21"/>
              </w:rPr>
              <w:t>从</w:t>
            </w:r>
            <w:r>
              <w:rPr>
                <w:rFonts w:hint="eastAsia"/>
                <w:szCs w:val="21"/>
                <w:lang w:val="en-US" w:eastAsia="zh-CN"/>
              </w:rPr>
              <w:t>远程</w:t>
            </w:r>
            <w:r>
              <w:rPr>
                <w:rFonts w:hint="eastAsia"/>
                <w:szCs w:val="21"/>
              </w:rPr>
              <w:t>观察：过程运行环境较好（可详见相关条款审核记录）、据介绍：公司重视组织知识（可详见相关条款审核记录），以上能符合服务的需要，并能支持体系运行和改进的需要。</w:t>
            </w:r>
          </w:p>
        </w:tc>
        <w:tc>
          <w:tcPr>
            <w:tcW w:w="1222"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900" w:type="dxa"/>
            <w:vAlign w:val="top"/>
          </w:tcPr>
          <w:p>
            <w:pPr>
              <w:spacing w:line="360" w:lineRule="auto"/>
              <w:rPr>
                <w:rFonts w:hint="eastAsia" w:ascii="宋体" w:hAnsi="宋体" w:cs="宋体"/>
                <w:color w:val="000000"/>
                <w:kern w:val="0"/>
                <w:szCs w:val="21"/>
              </w:rPr>
            </w:pPr>
          </w:p>
          <w:p>
            <w:pPr>
              <w:spacing w:line="360" w:lineRule="auto"/>
              <w:rPr>
                <w:rFonts w:ascii="宋体" w:hAnsi="宋体" w:cs="宋体"/>
                <w:color w:val="000000"/>
                <w:kern w:val="0"/>
                <w:szCs w:val="21"/>
              </w:rPr>
            </w:pPr>
            <w:r>
              <w:rPr>
                <w:rFonts w:hint="eastAsia" w:ascii="宋体" w:hAnsi="宋体" w:cs="宋体"/>
                <w:color w:val="000000"/>
                <w:kern w:val="0"/>
                <w:szCs w:val="21"/>
              </w:rPr>
              <w:t>意识</w:t>
            </w:r>
          </w:p>
          <w:p>
            <w:pPr>
              <w:spacing w:line="360" w:lineRule="auto"/>
              <w:rPr>
                <w:rFonts w:hint="eastAsia" w:ascii="Times New Roman" w:hAnsi="Times New Roman" w:eastAsia="宋体" w:cs="Times New Roman"/>
                <w:b/>
                <w:kern w:val="2"/>
                <w:sz w:val="21"/>
                <w:szCs w:val="21"/>
                <w:lang w:val="en-US" w:eastAsia="zh-CN" w:bidi="ar-SA"/>
              </w:rPr>
            </w:pPr>
          </w:p>
        </w:tc>
        <w:tc>
          <w:tcPr>
            <w:tcW w:w="934" w:type="dxa"/>
            <w:vAlign w:val="top"/>
          </w:tcPr>
          <w:p>
            <w:pPr>
              <w:spacing w:line="360" w:lineRule="auto"/>
              <w:rPr>
                <w:rFonts w:hint="eastAsia" w:ascii="宋体" w:hAnsi="宋体" w:cs="宋体"/>
                <w:color w:val="000000"/>
                <w:kern w:val="0"/>
                <w:szCs w:val="21"/>
              </w:rPr>
            </w:pPr>
          </w:p>
          <w:p>
            <w:pPr>
              <w:spacing w:line="360" w:lineRule="auto"/>
              <w:rPr>
                <w:rFonts w:ascii="宋体" w:hAnsi="宋体" w:cs="宋体"/>
                <w:color w:val="000000"/>
                <w:kern w:val="0"/>
                <w:szCs w:val="21"/>
              </w:rPr>
            </w:pPr>
            <w:r>
              <w:rPr>
                <w:rFonts w:hint="eastAsia" w:ascii="宋体" w:hAnsi="宋体" w:cs="宋体"/>
                <w:color w:val="000000"/>
                <w:kern w:val="0"/>
                <w:szCs w:val="21"/>
              </w:rPr>
              <w:t>Q7.3</w:t>
            </w:r>
          </w:p>
          <w:p>
            <w:pPr>
              <w:spacing w:line="360" w:lineRule="auto"/>
              <w:rPr>
                <w:rFonts w:hint="eastAsia" w:ascii="Times New Roman" w:hAnsi="Times New Roman" w:eastAsia="宋体" w:cs="Times New Roman"/>
                <w:b/>
                <w:kern w:val="2"/>
                <w:sz w:val="21"/>
                <w:szCs w:val="21"/>
                <w:lang w:val="en-US" w:eastAsia="zh-CN" w:bidi="ar-SA"/>
              </w:rPr>
            </w:pPr>
          </w:p>
        </w:tc>
        <w:tc>
          <w:tcPr>
            <w:tcW w:w="10653" w:type="dxa"/>
            <w:vAlign w:val="center"/>
          </w:tcPr>
          <w:p>
            <w:pPr>
              <w:spacing w:line="360" w:lineRule="auto"/>
              <w:ind w:firstLine="420" w:firstLineChars="200"/>
              <w:rPr>
                <w:szCs w:val="21"/>
              </w:rPr>
            </w:pPr>
            <w:r>
              <w:rPr>
                <w:rFonts w:hint="eastAsia"/>
                <w:szCs w:val="21"/>
              </w:rPr>
              <w:t>通过学习、宣传等方法使在组织控制范围内的相关工作人员知道质量、环境、职业健康安全方针；相关的质量、环境、职业健康安全目标；员工对质量、环境、职业健康安全管理体系有效性的贡献，包括改进质量环境绩效的益处；不符合质量环境和职业健康安全管理体系要求的后果。</w:t>
            </w:r>
          </w:p>
          <w:p>
            <w:pPr>
              <w:spacing w:line="360" w:lineRule="auto"/>
              <w:ind w:firstLine="420" w:firstLineChars="200"/>
              <w:rPr>
                <w:rFonts w:hint="eastAsia" w:ascii="Times New Roman" w:hAnsi="Times New Roman" w:eastAsia="宋体" w:cs="Times New Roman"/>
                <w:b/>
                <w:kern w:val="2"/>
                <w:sz w:val="21"/>
                <w:szCs w:val="21"/>
                <w:lang w:val="en-US" w:eastAsia="zh-CN" w:bidi="ar-SA"/>
              </w:rPr>
            </w:pPr>
            <w:r>
              <w:rPr>
                <w:rFonts w:hint="eastAsia"/>
                <w:szCs w:val="21"/>
              </w:rPr>
              <w:t>询问</w:t>
            </w:r>
            <w:r>
              <w:rPr>
                <w:rFonts w:hint="eastAsia"/>
                <w:szCs w:val="21"/>
                <w:lang w:eastAsia="zh-CN"/>
              </w:rPr>
              <w:t>行政部薛宇航</w:t>
            </w:r>
            <w:r>
              <w:rPr>
                <w:rFonts w:hint="eastAsia"/>
                <w:szCs w:val="21"/>
              </w:rPr>
              <w:t>知道公司方针，知道所在的工作岗位的质量、环境、职业健康安全目标，也了解自己的工作好坏会影响组织资质量、环境、职业健康安全管理体系的有效运行。</w:t>
            </w:r>
          </w:p>
        </w:tc>
        <w:tc>
          <w:tcPr>
            <w:tcW w:w="1222" w:type="dxa"/>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00" w:type="dxa"/>
            <w:vAlign w:val="center"/>
          </w:tcPr>
          <w:p>
            <w:pPr>
              <w:rPr>
                <w:rFonts w:ascii="宋体" w:hAnsi="宋体" w:eastAsia="宋体" w:cs="宋体"/>
                <w:kern w:val="2"/>
                <w:sz w:val="21"/>
                <w:szCs w:val="21"/>
                <w:lang w:val="en-US" w:eastAsia="zh-CN" w:bidi="ar-SA"/>
              </w:rPr>
            </w:pPr>
            <w:r>
              <w:rPr>
                <w:rFonts w:hint="eastAsia"/>
                <w:szCs w:val="21"/>
              </w:rPr>
              <w:t>监视和测量总则</w:t>
            </w:r>
          </w:p>
        </w:tc>
        <w:tc>
          <w:tcPr>
            <w:tcW w:w="934" w:type="dxa"/>
            <w:vAlign w:val="center"/>
          </w:tcPr>
          <w:p>
            <w:pPr>
              <w:rPr>
                <w:szCs w:val="21"/>
                <w:highlight w:val="red"/>
              </w:rPr>
            </w:pPr>
            <w:r>
              <w:rPr>
                <w:rFonts w:hint="eastAsia"/>
                <w:szCs w:val="21"/>
              </w:rPr>
              <w:t>QEO：9.1.1</w:t>
            </w:r>
          </w:p>
          <w:p>
            <w:pPr>
              <w:rPr>
                <w:rFonts w:hint="eastAsia" w:ascii="宋体" w:hAnsi="宋体" w:eastAsia="宋体" w:cs="宋体"/>
                <w:color w:val="000000"/>
                <w:kern w:val="0"/>
                <w:sz w:val="21"/>
                <w:szCs w:val="21"/>
                <w:lang w:val="en-US" w:eastAsia="zh-CN" w:bidi="ar-SA"/>
              </w:rPr>
            </w:pPr>
            <w:r>
              <w:rPr>
                <w:rFonts w:hint="eastAsia"/>
                <w:szCs w:val="21"/>
              </w:rPr>
              <w:t>J3.4.2、11.1.1、11.2、12.1、12.2.1-2</w:t>
            </w:r>
          </w:p>
        </w:tc>
        <w:tc>
          <w:tcPr>
            <w:tcW w:w="10653" w:type="dxa"/>
            <w:vAlign w:val="center"/>
          </w:tcPr>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lang w:eastAsia="zh-CN"/>
              </w:rPr>
              <w:t>行政部</w:t>
            </w:r>
            <w:r>
              <w:rPr>
                <w:rFonts w:hint="eastAsia" w:ascii="宋体" w:hAnsi="宋体" w:cs="宋体"/>
                <w:szCs w:val="21"/>
              </w:rPr>
              <w:t>对管理体系的过程能力进行监视和测量，通过内审对管理体系运行的符合性和有效性进行监测，结论管理体系总体运行有效。详见审核9.2条款；通过管理评审对管理体系的充分性、有效性和适宜性作了肯定的评价。详见审核9.</w:t>
            </w:r>
            <w:r>
              <w:rPr>
                <w:rFonts w:hint="eastAsia" w:ascii="宋体" w:hAnsi="宋体" w:cs="宋体"/>
                <w:szCs w:val="21"/>
                <w:lang w:val="en-US" w:eastAsia="zh-CN"/>
              </w:rPr>
              <w:t>3</w:t>
            </w:r>
            <w:r>
              <w:rPr>
                <w:rFonts w:hint="eastAsia" w:ascii="宋体" w:hAnsi="宋体" w:cs="宋体"/>
                <w:szCs w:val="21"/>
              </w:rPr>
              <w:t>条款记录；通过目标考评，监测管理体系运行的有效性，提供了20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年度的目标完成情况，公司及各部门的管理目标均能完成。</w:t>
            </w:r>
          </w:p>
        </w:tc>
        <w:tc>
          <w:tcPr>
            <w:tcW w:w="1222" w:type="dxa"/>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900" w:type="dxa"/>
            <w:vAlign w:val="center"/>
          </w:tcPr>
          <w:p>
            <w:r>
              <w:rPr>
                <w:rFonts w:hint="eastAsia"/>
                <w:szCs w:val="21"/>
              </w:rPr>
              <w:t>管理评审</w:t>
            </w:r>
          </w:p>
        </w:tc>
        <w:tc>
          <w:tcPr>
            <w:tcW w:w="934" w:type="dxa"/>
            <w:vAlign w:val="center"/>
          </w:tcPr>
          <w:p>
            <w:pPr>
              <w:rPr>
                <w:szCs w:val="21"/>
              </w:rPr>
            </w:pPr>
            <w:r>
              <w:rPr>
                <w:rFonts w:hint="eastAsia"/>
                <w:szCs w:val="21"/>
              </w:rPr>
              <w:t>Q9.3</w:t>
            </w:r>
          </w:p>
          <w:p>
            <w:r>
              <w:rPr>
                <w:rFonts w:hint="eastAsia"/>
                <w:szCs w:val="21"/>
              </w:rPr>
              <w:t>J12.4</w:t>
            </w:r>
          </w:p>
        </w:tc>
        <w:tc>
          <w:tcPr>
            <w:tcW w:w="10653" w:type="dxa"/>
            <w:vAlign w:val="center"/>
          </w:tcPr>
          <w:p>
            <w:pPr>
              <w:spacing w:line="360" w:lineRule="auto"/>
              <w:rPr>
                <w:rFonts w:ascii="宋体" w:hAnsi="宋体" w:cs="宋体"/>
                <w:szCs w:val="21"/>
              </w:rPr>
            </w:pPr>
            <w:r>
              <w:rPr>
                <w:rFonts w:hint="eastAsia" w:ascii="宋体" w:hAnsi="宋体" w:cs="宋体"/>
                <w:szCs w:val="21"/>
              </w:rPr>
              <w:t>提供：</w:t>
            </w:r>
          </w:p>
          <w:p>
            <w:pPr>
              <w:spacing w:line="360" w:lineRule="auto"/>
              <w:rPr>
                <w:rFonts w:ascii="宋体" w:hAnsi="宋体" w:cs="宋体"/>
                <w:szCs w:val="21"/>
              </w:rPr>
            </w:pPr>
            <w:r>
              <w:rPr>
                <w:rFonts w:hint="eastAsia" w:ascii="宋体" w:hAnsi="宋体" w:cs="宋体"/>
                <w:szCs w:val="21"/>
              </w:rPr>
              <w:t>1.管理评审计划</w:t>
            </w:r>
          </w:p>
          <w:p>
            <w:pPr>
              <w:spacing w:line="360" w:lineRule="auto"/>
              <w:rPr>
                <w:rFonts w:ascii="宋体" w:hAnsi="宋体" w:cs="宋体"/>
                <w:szCs w:val="21"/>
              </w:rPr>
            </w:pPr>
            <w:r>
              <w:rPr>
                <w:rFonts w:hint="eastAsia" w:ascii="宋体" w:hAnsi="宋体" w:cs="宋体"/>
                <w:szCs w:val="21"/>
              </w:rPr>
              <w:t>评审时间：计划20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28</w:t>
            </w:r>
            <w:r>
              <w:rPr>
                <w:rFonts w:hint="eastAsia" w:ascii="宋体" w:hAnsi="宋体" w:cs="宋体"/>
                <w:szCs w:val="21"/>
              </w:rPr>
              <w:t>日进行，初审无间隔要求，评审方式：会议评审，编制：</w:t>
            </w:r>
            <w:r>
              <w:rPr>
                <w:rFonts w:hint="eastAsia" w:ascii="宋体" w:hAnsi="宋体" w:cs="宋体"/>
                <w:szCs w:val="21"/>
                <w:lang w:val="en-US" w:eastAsia="zh-CN"/>
              </w:rPr>
              <w:t>李苏燕</w:t>
            </w:r>
            <w:r>
              <w:rPr>
                <w:rFonts w:hint="eastAsia" w:ascii="宋体" w:hAnsi="宋体" w:cs="宋体"/>
                <w:szCs w:val="21"/>
              </w:rPr>
              <w:t xml:space="preserve">  批准：</w:t>
            </w:r>
            <w:r>
              <w:rPr>
                <w:rFonts w:hint="eastAsia" w:ascii="宋体" w:hAnsi="宋体" w:cs="宋体"/>
                <w:szCs w:val="21"/>
                <w:lang w:val="en-US" w:eastAsia="zh-CN"/>
              </w:rPr>
              <w:t>周东福</w:t>
            </w:r>
            <w:r>
              <w:rPr>
                <w:rFonts w:hint="eastAsia" w:ascii="宋体" w:hAnsi="宋体" w:cs="宋体"/>
                <w:szCs w:val="21"/>
              </w:rPr>
              <w:t>，编制时间为</w:t>
            </w:r>
            <w:r>
              <w:rPr>
                <w:rFonts w:hint="eastAsia" w:ascii="宋体" w:hAnsi="宋体" w:cs="宋体"/>
                <w:szCs w:val="21"/>
                <w:lang w:val="en-US" w:eastAsia="zh-CN"/>
              </w:rPr>
              <w:t>12</w:t>
            </w:r>
            <w:r>
              <w:rPr>
                <w:rFonts w:hint="eastAsia" w:ascii="宋体" w:hAnsi="宋体" w:cs="宋体"/>
                <w:szCs w:val="21"/>
              </w:rPr>
              <w:t>月1</w:t>
            </w:r>
            <w:r>
              <w:rPr>
                <w:rFonts w:hint="eastAsia" w:ascii="宋体" w:hAnsi="宋体" w:cs="宋体"/>
                <w:szCs w:val="21"/>
                <w:lang w:val="en-US" w:eastAsia="zh-CN"/>
              </w:rPr>
              <w:t>2</w:t>
            </w:r>
            <w:r>
              <w:rPr>
                <w:rFonts w:hint="eastAsia" w:ascii="宋体" w:hAnsi="宋体" w:cs="宋体"/>
                <w:szCs w:val="21"/>
              </w:rPr>
              <w:t>日，现场沟通。</w:t>
            </w:r>
          </w:p>
          <w:p>
            <w:pPr>
              <w:spacing w:line="360" w:lineRule="auto"/>
              <w:rPr>
                <w:rFonts w:ascii="宋体" w:hAnsi="宋体" w:cs="宋体"/>
                <w:szCs w:val="21"/>
              </w:rPr>
            </w:pPr>
            <w:r>
              <w:rPr>
                <w:rFonts w:hint="eastAsia" w:ascii="宋体" w:hAnsi="宋体" w:cs="宋体"/>
                <w:szCs w:val="21"/>
              </w:rPr>
              <w:t>参加人员包括公司总经理、管理者代表、各部门负责人</w:t>
            </w:r>
          </w:p>
          <w:p>
            <w:pPr>
              <w:spacing w:line="360" w:lineRule="auto"/>
              <w:rPr>
                <w:rFonts w:ascii="宋体" w:hAnsi="宋体" w:cs="宋体"/>
                <w:szCs w:val="21"/>
              </w:rPr>
            </w:pPr>
            <w:r>
              <w:rPr>
                <w:rFonts w:hint="eastAsia" w:ascii="宋体" w:hAnsi="宋体" w:cs="宋体"/>
                <w:szCs w:val="21"/>
              </w:rPr>
              <w:t>计划中明确了评审内容和资料准备要求。</w:t>
            </w:r>
          </w:p>
          <w:p>
            <w:pPr>
              <w:spacing w:line="360" w:lineRule="auto"/>
              <w:rPr>
                <w:rFonts w:ascii="宋体" w:hAnsi="宋体" w:cs="宋体"/>
                <w:szCs w:val="21"/>
              </w:rPr>
            </w:pPr>
            <w:r>
              <w:rPr>
                <w:rFonts w:hint="eastAsia" w:ascii="宋体" w:hAnsi="宋体" w:cs="宋体"/>
                <w:szCs w:val="21"/>
              </w:rPr>
              <w:t>2.管理评审会议记录</w:t>
            </w:r>
          </w:p>
          <w:p>
            <w:pPr>
              <w:spacing w:line="360" w:lineRule="auto"/>
              <w:rPr>
                <w:rFonts w:ascii="宋体" w:hAnsi="宋体" w:cs="宋体"/>
                <w:szCs w:val="21"/>
              </w:rPr>
            </w:pPr>
            <w:r>
              <w:rPr>
                <w:rFonts w:hint="eastAsia" w:ascii="宋体" w:hAnsi="宋体" w:cs="宋体"/>
                <w:szCs w:val="21"/>
              </w:rPr>
              <w:t>按计划的时间实施了管理评审。管理评审输入：管理评审所采取的实施情况；与QEO体系有关的内、外部问题；有关QEO体系绩效和有效性的信息，包括下列趋势性信息：顾客满意和相关方有关信息交流反馈等；QEO目标的实现程度；过程绩效以及服务的符合性；不合格以及事件调查、纠正和预防措施的状况；监视和测量结果；内部审核的结果；外部供方的绩效。资源的充分性；应对风险和机遇所采取措施的有效性；相关方的需求和期望及合规义务的履约情况；QEO持续改进的机会等；</w:t>
            </w:r>
          </w:p>
          <w:p>
            <w:pPr>
              <w:spacing w:line="360" w:lineRule="auto"/>
              <w:rPr>
                <w:rFonts w:ascii="宋体" w:hAnsi="宋体" w:cs="宋体"/>
                <w:szCs w:val="21"/>
              </w:rPr>
            </w:pPr>
            <w:r>
              <w:rPr>
                <w:rFonts w:hint="eastAsia" w:ascii="宋体" w:hAnsi="宋体" w:cs="宋体"/>
                <w:szCs w:val="21"/>
              </w:rPr>
              <w:t>3.管理评审报告</w:t>
            </w:r>
          </w:p>
          <w:p>
            <w:pPr>
              <w:spacing w:line="360" w:lineRule="auto"/>
              <w:rPr>
                <w:rFonts w:ascii="宋体" w:hAnsi="宋体" w:cs="宋体"/>
                <w:szCs w:val="21"/>
              </w:rPr>
            </w:pPr>
            <w:r>
              <w:rPr>
                <w:rFonts w:hint="eastAsia" w:ascii="宋体" w:hAnsi="宋体" w:cs="宋体"/>
                <w:szCs w:val="21"/>
              </w:rPr>
              <w:t>管理评审结论：公司质量、环境和职业健康安全管理体系，从运行情况来看，公司的质量、环境和职业健康安全管理体系是持续适宜的、充分的和有效的，能满足公司经营、环境保护和职业健康安全管理的要求，并实施持续改进措施是有效的。公司质量和环境和职业健康管理方针、目标得以实现且是适宜的，不必修改。</w:t>
            </w:r>
          </w:p>
          <w:p>
            <w:pPr>
              <w:spacing w:line="360" w:lineRule="auto"/>
              <w:ind w:firstLine="420" w:firstLineChars="200"/>
              <w:rPr>
                <w:rFonts w:ascii="宋体" w:hAnsi="宋体" w:cs="宋体"/>
                <w:szCs w:val="21"/>
              </w:rPr>
            </w:pPr>
            <w:r>
              <w:rPr>
                <w:rFonts w:hint="eastAsia" w:ascii="宋体" w:hAnsi="宋体" w:cs="宋体"/>
                <w:szCs w:val="21"/>
              </w:rPr>
              <w:t>管理评审改进建议：</w:t>
            </w:r>
            <w:r>
              <w:rPr>
                <w:rFonts w:hint="eastAsia" w:ascii="宋体" w:hAnsi="宋体" w:cs="宋体"/>
                <w:szCs w:val="21"/>
                <w:lang w:val="en-US" w:eastAsia="zh-CN"/>
              </w:rPr>
              <w:t>加强所有人员体系文件和标准的培训学习</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以上改进措施，目前正在实施中，后续可进一步关注。</w:t>
            </w:r>
          </w:p>
          <w:p>
            <w:pPr>
              <w:spacing w:line="360" w:lineRule="auto"/>
              <w:ind w:firstLine="420" w:firstLineChars="200"/>
              <w:rPr>
                <w:rFonts w:ascii="宋体" w:hAnsi="宋体" w:cs="宋体"/>
                <w:szCs w:val="21"/>
              </w:rPr>
            </w:pPr>
            <w:r>
              <w:rPr>
                <w:rFonts w:hint="eastAsia" w:ascii="宋体" w:hAnsi="宋体" w:cs="宋体"/>
                <w:szCs w:val="21"/>
              </w:rPr>
              <w:t>查有《管理评审控制程序》</w:t>
            </w:r>
          </w:p>
          <w:p>
            <w:pPr>
              <w:spacing w:line="360" w:lineRule="auto"/>
              <w:ind w:firstLine="420" w:firstLineChars="200"/>
              <w:jc w:val="left"/>
              <w:rPr>
                <w:rFonts w:ascii="宋体" w:hAnsi="宋体" w:cs="宋体"/>
                <w:szCs w:val="21"/>
              </w:rPr>
            </w:pPr>
            <w:r>
              <w:rPr>
                <w:rFonts w:hint="eastAsia" w:ascii="宋体" w:hAnsi="宋体" w:cs="宋体"/>
                <w:szCs w:val="21"/>
              </w:rPr>
              <w:t>明确总经理按照策划的时间间隔对组织的管理体系进行评审，以确保其持续的适宜性、充分性和有效性，并与组织的战略方向一致。</w:t>
            </w:r>
          </w:p>
          <w:p>
            <w:pPr>
              <w:spacing w:line="360" w:lineRule="auto"/>
              <w:ind w:firstLine="420" w:firstLineChars="200"/>
              <w:rPr>
                <w:rFonts w:ascii="宋体" w:hAnsi="宋体" w:cs="宋体"/>
                <w:szCs w:val="21"/>
              </w:rPr>
            </w:pPr>
            <w:r>
              <w:rPr>
                <w:rFonts w:hint="eastAsia" w:ascii="宋体" w:hAnsi="宋体" w:cs="宋体"/>
                <w:szCs w:val="21"/>
              </w:rPr>
              <w:t>管理评审于20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28</w:t>
            </w:r>
            <w:r>
              <w:rPr>
                <w:rFonts w:hint="eastAsia" w:ascii="宋体" w:hAnsi="宋体" w:cs="宋体"/>
                <w:szCs w:val="21"/>
              </w:rPr>
              <w:t>日，由总经理组织召开，参加人员包括公司管理层、各部门负责人等。</w:t>
            </w:r>
          </w:p>
          <w:p>
            <w:pPr>
              <w:spacing w:line="360" w:lineRule="auto"/>
              <w:ind w:firstLine="420" w:firstLineChars="200"/>
              <w:jc w:val="left"/>
              <w:rPr>
                <w:rFonts w:ascii="宋体" w:hAnsi="宋体" w:cs="宋体"/>
                <w:szCs w:val="21"/>
              </w:rPr>
            </w:pPr>
            <w:r>
              <w:rPr>
                <w:rFonts w:hint="eastAsia" w:ascii="宋体" w:hAnsi="宋体" w:cs="宋体"/>
                <w:szCs w:val="21"/>
              </w:rPr>
              <w:t>查：“管理评审计划”目的：管理体系的适宜性、充分性和有效性，寻求改进机会，以确保实现公司的战略方向等，内容有：评审的依据、参加人员、评审的主要内容等。</w:t>
            </w:r>
          </w:p>
          <w:p>
            <w:pPr>
              <w:spacing w:line="360" w:lineRule="auto"/>
              <w:ind w:firstLine="420" w:firstLineChars="200"/>
              <w:jc w:val="left"/>
              <w:rPr>
                <w:rFonts w:ascii="宋体" w:hAnsi="宋体" w:cs="宋体"/>
                <w:szCs w:val="21"/>
              </w:rPr>
            </w:pPr>
            <w:r>
              <w:rPr>
                <w:rFonts w:hint="eastAsia" w:ascii="宋体" w:hAnsi="宋体" w:cs="宋体"/>
                <w:szCs w:val="21"/>
              </w:rPr>
              <w:t>管理评审的实施，查有：“管理评审会议记录”</w:t>
            </w:r>
          </w:p>
          <w:p>
            <w:pPr>
              <w:spacing w:line="360" w:lineRule="auto"/>
              <w:ind w:firstLine="420" w:firstLineChars="200"/>
              <w:rPr>
                <w:rFonts w:ascii="宋体" w:hAnsi="宋体" w:cs="宋体"/>
                <w:szCs w:val="21"/>
              </w:rPr>
            </w:pPr>
            <w:r>
              <w:rPr>
                <w:rFonts w:hint="eastAsia" w:ascii="宋体" w:hAnsi="宋体" w:cs="宋体"/>
                <w:szCs w:val="21"/>
              </w:rPr>
              <w:t>管理评审会议，于20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28</w:t>
            </w:r>
            <w:r>
              <w:rPr>
                <w:rFonts w:hint="eastAsia" w:ascii="宋体" w:hAnsi="宋体" w:cs="宋体"/>
                <w:szCs w:val="21"/>
              </w:rPr>
              <w:t>日召开，有总经理主持会议，共有</w:t>
            </w:r>
            <w:r>
              <w:rPr>
                <w:rFonts w:hint="eastAsia" w:ascii="宋体" w:hAnsi="宋体" w:cs="宋体"/>
                <w:szCs w:val="21"/>
                <w:lang w:val="en-US" w:eastAsia="zh-CN"/>
              </w:rPr>
              <w:t>6</w:t>
            </w:r>
            <w:r>
              <w:rPr>
                <w:rFonts w:hint="eastAsia" w:ascii="宋体" w:hAnsi="宋体" w:cs="宋体"/>
                <w:szCs w:val="21"/>
              </w:rPr>
              <w:t>人参加会议（其中包括：总经理、体系负责人、各部门负责人等。按计划的时间实施了管理评审。</w:t>
            </w:r>
          </w:p>
          <w:p>
            <w:pPr>
              <w:spacing w:line="360" w:lineRule="auto"/>
              <w:ind w:firstLine="420" w:firstLineChars="200"/>
              <w:rPr>
                <w:rFonts w:ascii="宋体" w:hAnsi="宋体" w:cs="宋体"/>
                <w:szCs w:val="21"/>
              </w:rPr>
            </w:pPr>
            <w:r>
              <w:rPr>
                <w:rFonts w:hint="eastAsia" w:ascii="宋体" w:hAnsi="宋体" w:cs="宋体"/>
                <w:szCs w:val="21"/>
              </w:rPr>
              <w:t>管理评审输入：管理评审所采取的实施情况；与QEO体系有关的内、外部问题；有关QEO体系绩效和有效性的信息，包括下列趋势性信息：顾客满意和相关方有关信息交流反馈等；QEO目标的实现程度；过程绩效以及服务的符合性；不合格以及事件调查、纠正和预防措施的状况；监视和测量结果；内部审核的结果；外部供方的绩效。资源的充分性；应对风险和机遇所采取措施的有效性；相关方的需求和期望及合规义务的履约情况；QEO持续改进的机会等；</w:t>
            </w:r>
          </w:p>
          <w:p>
            <w:pPr>
              <w:spacing w:line="360" w:lineRule="auto"/>
              <w:ind w:firstLine="480"/>
              <w:jc w:val="left"/>
              <w:rPr>
                <w:rFonts w:ascii="宋体" w:hAnsi="宋体" w:cs="宋体"/>
                <w:szCs w:val="21"/>
              </w:rPr>
            </w:pPr>
            <w:r>
              <w:rPr>
                <w:rFonts w:hint="eastAsia" w:ascii="宋体" w:hAnsi="宋体" w:cs="宋体"/>
                <w:szCs w:val="21"/>
              </w:rPr>
              <w:t>《管理评审的输入资料》：</w:t>
            </w:r>
          </w:p>
          <w:p>
            <w:pPr>
              <w:spacing w:line="360" w:lineRule="auto"/>
              <w:ind w:firstLine="420" w:firstLineChars="200"/>
              <w:jc w:val="left"/>
              <w:rPr>
                <w:rFonts w:ascii="宋体" w:hAnsi="宋体" w:cs="宋体"/>
                <w:szCs w:val="21"/>
              </w:rPr>
            </w:pPr>
            <w:r>
              <w:rPr>
                <w:rFonts w:hint="eastAsia" w:ascii="宋体" w:hAnsi="宋体" w:cs="宋体"/>
                <w:szCs w:val="21"/>
              </w:rPr>
              <w:t>查看有：各部门提交体系工作总结，</w:t>
            </w:r>
          </w:p>
          <w:p>
            <w:pPr>
              <w:spacing w:line="360" w:lineRule="auto"/>
              <w:ind w:firstLine="420" w:firstLineChars="200"/>
              <w:jc w:val="left"/>
              <w:rPr>
                <w:rFonts w:ascii="宋体" w:hAnsi="宋体" w:cs="宋体"/>
                <w:szCs w:val="21"/>
              </w:rPr>
            </w:pPr>
            <w:r>
              <w:rPr>
                <w:rFonts w:hint="eastAsia" w:ascii="宋体" w:hAnsi="宋体" w:cs="宋体"/>
                <w:szCs w:val="21"/>
              </w:rPr>
              <w:t>查有《管理评审报告》，主要对过程的管理体系有效性及体系的有效性和适宜性的评价，有改进意见</w:t>
            </w:r>
            <w:r>
              <w:rPr>
                <w:rFonts w:hint="eastAsia" w:ascii="宋体" w:hAnsi="宋体" w:cs="宋体"/>
                <w:szCs w:val="21"/>
                <w:lang w:val="en-US" w:eastAsia="zh-CN"/>
              </w:rPr>
              <w:t>1</w:t>
            </w:r>
            <w:r>
              <w:rPr>
                <w:rFonts w:hint="eastAsia" w:ascii="宋体" w:hAnsi="宋体" w:cs="宋体"/>
                <w:szCs w:val="21"/>
              </w:rPr>
              <w:t>条：</w:t>
            </w:r>
            <w:r>
              <w:rPr>
                <w:rFonts w:hint="eastAsia" w:ascii="宋体" w:hAnsi="宋体" w:cs="宋体"/>
                <w:szCs w:val="21"/>
                <w:lang w:val="en-US" w:eastAsia="zh-CN"/>
              </w:rPr>
              <w:t>加强所有人员体系文件和标准的培训学习</w:t>
            </w:r>
            <w:r>
              <w:rPr>
                <w:rFonts w:hint="eastAsia" w:ascii="宋体" w:hAnsi="宋体" w:cs="宋体"/>
                <w:szCs w:val="21"/>
              </w:rPr>
              <w:t>。输入资料较全，对改进的意见的措施基本落实。</w:t>
            </w:r>
          </w:p>
          <w:p>
            <w:pPr>
              <w:spacing w:line="360" w:lineRule="auto"/>
              <w:ind w:firstLine="480"/>
              <w:jc w:val="left"/>
              <w:rPr>
                <w:rFonts w:ascii="宋体" w:hAnsi="宋体" w:cs="宋体"/>
                <w:szCs w:val="21"/>
              </w:rPr>
            </w:pPr>
            <w:r>
              <w:rPr>
                <w:rFonts w:hint="eastAsia" w:ascii="宋体" w:hAnsi="宋体" w:cs="宋体"/>
                <w:szCs w:val="21"/>
              </w:rPr>
              <w:t>组织能保留以上形成文件的信息，作为管理评审结果的证据。</w:t>
            </w:r>
          </w:p>
        </w:tc>
        <w:tc>
          <w:tcPr>
            <w:tcW w:w="1222"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00" w:type="dxa"/>
            <w:vAlign w:val="center"/>
          </w:tcPr>
          <w:p>
            <w:pPr>
              <w:rPr>
                <w:u w:val="none"/>
              </w:rPr>
            </w:pPr>
            <w:r>
              <w:rPr>
                <w:rFonts w:hint="eastAsia"/>
                <w:szCs w:val="21"/>
              </w:rPr>
              <w:t>总则</w:t>
            </w:r>
          </w:p>
        </w:tc>
        <w:tc>
          <w:tcPr>
            <w:tcW w:w="934" w:type="dxa"/>
            <w:vAlign w:val="center"/>
          </w:tcPr>
          <w:p>
            <w:pPr>
              <w:rPr>
                <w:szCs w:val="21"/>
              </w:rPr>
            </w:pPr>
            <w:r>
              <w:rPr>
                <w:rFonts w:hint="eastAsia"/>
                <w:szCs w:val="21"/>
              </w:rPr>
              <w:t>Q10.1</w:t>
            </w:r>
          </w:p>
          <w:p>
            <w:pPr>
              <w:rPr>
                <w:u w:val="none"/>
              </w:rPr>
            </w:pPr>
            <w:r>
              <w:rPr>
                <w:rFonts w:hint="eastAsia"/>
                <w:szCs w:val="21"/>
              </w:rPr>
              <w:t>J12.5</w:t>
            </w:r>
          </w:p>
        </w:tc>
        <w:tc>
          <w:tcPr>
            <w:tcW w:w="10653" w:type="dxa"/>
          </w:tcPr>
          <w:p>
            <w:pPr>
              <w:spacing w:line="360" w:lineRule="auto"/>
              <w:ind w:firstLine="420" w:firstLineChars="200"/>
              <w:rPr>
                <w:rFonts w:ascii="宋体" w:hAnsi="宋体" w:cs="宋体"/>
                <w:szCs w:val="21"/>
                <w:u w:val="none"/>
              </w:rPr>
            </w:pPr>
            <w:r>
              <w:rPr>
                <w:rFonts w:hint="eastAsia" w:ascii="宋体" w:hAnsi="宋体" w:cs="宋体"/>
                <w:szCs w:val="21"/>
                <w:u w:val="none"/>
                <w:lang w:eastAsia="zh-CN"/>
              </w:rPr>
              <w:t>行政部</w:t>
            </w:r>
            <w:r>
              <w:rPr>
                <w:rFonts w:hint="eastAsia" w:ascii="宋体" w:hAnsi="宋体" w:cs="宋体"/>
                <w:szCs w:val="21"/>
                <w:u w:val="none"/>
              </w:rPr>
              <w:t xml:space="preserve">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360" w:lineRule="auto"/>
              <w:rPr>
                <w:rFonts w:ascii="宋体" w:hAnsi="宋体" w:cs="宋体"/>
                <w:szCs w:val="21"/>
                <w:u w:val="none"/>
              </w:rPr>
            </w:pPr>
            <w:r>
              <w:rPr>
                <w:rFonts w:hint="eastAsia" w:ascii="宋体" w:hAnsi="宋体" w:cs="宋体"/>
                <w:szCs w:val="21"/>
                <w:u w:val="none"/>
              </w:rPr>
              <w:t xml:space="preserve"> ——具体事实可见审核10.2条款记录。</w:t>
            </w:r>
          </w:p>
        </w:tc>
        <w:tc>
          <w:tcPr>
            <w:tcW w:w="1222" w:type="dxa"/>
          </w:tcPr>
          <w:p>
            <w:pPr>
              <w:spacing w:line="360" w:lineRule="auto"/>
              <w:rPr>
                <w:u w:val="none"/>
              </w:rPr>
            </w:pPr>
            <w:r>
              <w:rPr>
                <w:rFonts w:hint="eastAsia"/>
                <w:u w:val="none"/>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00" w:type="dxa"/>
            <w:vAlign w:val="center"/>
          </w:tcPr>
          <w:p>
            <w:r>
              <w:rPr>
                <w:rFonts w:hint="eastAsia"/>
                <w:szCs w:val="21"/>
              </w:rPr>
              <w:t>持续改进</w:t>
            </w:r>
          </w:p>
        </w:tc>
        <w:tc>
          <w:tcPr>
            <w:tcW w:w="934" w:type="dxa"/>
            <w:vAlign w:val="center"/>
          </w:tcPr>
          <w:p>
            <w:pPr>
              <w:rPr>
                <w:szCs w:val="21"/>
              </w:rPr>
            </w:pPr>
            <w:r>
              <w:rPr>
                <w:rFonts w:hint="eastAsia"/>
                <w:szCs w:val="21"/>
              </w:rPr>
              <w:t>Q10.3</w:t>
            </w:r>
          </w:p>
          <w:p>
            <w:r>
              <w:rPr>
                <w:rFonts w:hint="eastAsia"/>
                <w:szCs w:val="21"/>
              </w:rPr>
              <w:t>J12.5</w:t>
            </w:r>
          </w:p>
        </w:tc>
        <w:tc>
          <w:tcPr>
            <w:tcW w:w="10653" w:type="dxa"/>
            <w:vAlign w:val="center"/>
          </w:tcPr>
          <w:p>
            <w:pPr>
              <w:spacing w:line="360" w:lineRule="auto"/>
              <w:rPr>
                <w:rFonts w:ascii="宋体" w:hAnsi="宋体" w:cs="宋体"/>
                <w:szCs w:val="21"/>
              </w:rPr>
            </w:pPr>
            <w:r>
              <w:rPr>
                <w:rFonts w:hint="eastAsia" w:ascii="宋体" w:hAnsi="宋体" w:cs="宋体"/>
                <w:szCs w:val="21"/>
              </w:rPr>
              <w:t xml:space="preserve">    在《管理手册》中明确“持续改进”的要求，并编制《改进管理程序》。</w:t>
            </w:r>
          </w:p>
          <w:p>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据体系负责人介绍：总经理负责识别组织变更、风险变更并作改进，检验部及各部门配合负责数据分析，并利用分析结果改进管理体系。</w:t>
            </w:r>
          </w:p>
          <w:p>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总经理及体系负责人介绍：组织确定并选择了改进机会，包括：改进服务以满足要求并关注未来的需求和期望、纠正、预防或减少不利影响、改进管理体系的绩效和有效性，并采取必要措施，以满足顾客要求和增强顾客满意要求，满足环境和职业健康安全法律法规，提升环境和职业健康安全绩效等方面。</w:t>
            </w:r>
          </w:p>
          <w:p>
            <w:pPr>
              <w:autoSpaceDE w:val="0"/>
              <w:autoSpaceDN w:val="0"/>
              <w:adjustRightInd w:val="0"/>
              <w:spacing w:line="360" w:lineRule="auto"/>
              <w:ind w:firstLine="420" w:firstLineChars="200"/>
              <w:jc w:val="left"/>
              <w:rPr>
                <w:rFonts w:hint="eastAsia" w:ascii="宋体" w:hAnsi="宋体" w:eastAsia="宋体" w:cs="宋体"/>
                <w:szCs w:val="21"/>
                <w:lang w:eastAsia="zh-CN"/>
              </w:rPr>
            </w:pPr>
            <w:r>
              <w:rPr>
                <w:rFonts w:hint="eastAsia" w:ascii="宋体" w:hAnsi="宋体" w:cs="宋体"/>
                <w:szCs w:val="21"/>
              </w:rPr>
              <w:t>在持续改进方面，制定了《不合格控制程序》、《纠正措施控制程序》、《预防措施控制程序》等相关文件化信息要求</w:t>
            </w:r>
            <w:r>
              <w:rPr>
                <w:rFonts w:hint="eastAsia" w:ascii="宋体" w:hAnsi="宋体" w:cs="宋体"/>
                <w:szCs w:val="21"/>
                <w:lang w:val="en-US" w:eastAsia="zh-CN"/>
              </w:rPr>
              <w:t>.</w:t>
            </w:r>
          </w:p>
          <w:p>
            <w:pPr>
              <w:spacing w:line="360" w:lineRule="auto"/>
              <w:rPr>
                <w:rFonts w:ascii="宋体" w:hAnsi="宋体" w:cs="宋体"/>
                <w:szCs w:val="21"/>
              </w:rPr>
            </w:pPr>
            <w:r>
              <w:rPr>
                <w:rFonts w:hint="eastAsia" w:ascii="宋体" w:hAnsi="宋体" w:cs="宋体"/>
                <w:szCs w:val="21"/>
              </w:rPr>
              <w:t>并考虑了分析、评价结果，确定是否存在应关注的持续改进的需求和机遇，公司利用管理方针、目标、内审和外审、数据分析、纠正和预防措施以及管理评审，识别任何改进的机会，持续改进管理体系的适宜性、充分性和有效性。详见相关条款审核记录。</w:t>
            </w:r>
          </w:p>
        </w:tc>
        <w:tc>
          <w:tcPr>
            <w:tcW w:w="1222"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0" w:type="dxa"/>
            <w:vAlign w:val="top"/>
          </w:tcPr>
          <w:p>
            <w:pPr>
              <w:spacing w:line="360" w:lineRule="auto"/>
              <w:rPr>
                <w:rFonts w:ascii="仿宋_GB2312" w:hAnsi="仿宋" w:eastAsia="仿宋_GB2312" w:cs="宋体"/>
                <w:sz w:val="24"/>
                <w:szCs w:val="24"/>
              </w:rPr>
            </w:pPr>
            <w:r>
              <w:rPr>
                <w:rFonts w:hint="eastAsia"/>
                <w:color w:val="000000"/>
                <w:szCs w:val="21"/>
              </w:rPr>
              <w:t>国家/地方监督抽查情况</w:t>
            </w:r>
          </w:p>
        </w:tc>
        <w:tc>
          <w:tcPr>
            <w:tcW w:w="934" w:type="dxa"/>
            <w:vAlign w:val="top"/>
          </w:tcPr>
          <w:p>
            <w:pPr>
              <w:spacing w:line="360" w:lineRule="auto"/>
              <w:rPr>
                <w:rFonts w:ascii="仿宋_GB2312" w:hAnsi="仿宋" w:eastAsia="仿宋_GB2312" w:cs="宋体"/>
                <w:sz w:val="24"/>
                <w:szCs w:val="24"/>
              </w:rPr>
            </w:pPr>
          </w:p>
        </w:tc>
        <w:tc>
          <w:tcPr>
            <w:tcW w:w="10653" w:type="dxa"/>
            <w:vAlign w:val="top"/>
          </w:tcPr>
          <w:p>
            <w:pPr>
              <w:spacing w:line="360" w:lineRule="auto"/>
              <w:rPr>
                <w:rFonts w:ascii="宋体" w:hAnsi="宋体" w:cs="宋体"/>
                <w:szCs w:val="21"/>
              </w:rPr>
            </w:pPr>
            <w:r>
              <w:rPr>
                <w:rFonts w:hint="eastAsia" w:ascii="宋体" w:hAnsi="宋体" w:cs="宋体"/>
                <w:szCs w:val="21"/>
              </w:rPr>
              <w:t>无监督抽查。</w:t>
            </w:r>
          </w:p>
        </w:tc>
        <w:tc>
          <w:tcPr>
            <w:tcW w:w="1222"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900" w:type="dxa"/>
            <w:vAlign w:val="top"/>
          </w:tcPr>
          <w:p>
            <w:pPr>
              <w:spacing w:line="360" w:lineRule="auto"/>
              <w:rPr>
                <w:rFonts w:ascii="仿宋_GB2312" w:hAnsi="仿宋" w:eastAsia="仿宋_GB2312" w:cs="宋体"/>
                <w:sz w:val="24"/>
                <w:szCs w:val="24"/>
              </w:rPr>
            </w:pPr>
            <w:r>
              <w:rPr>
                <w:rFonts w:hint="eastAsia"/>
                <w:color w:val="000000"/>
                <w:szCs w:val="21"/>
              </w:rPr>
              <w:t>顾客满意、相关方投诉及处理情况</w:t>
            </w:r>
          </w:p>
        </w:tc>
        <w:tc>
          <w:tcPr>
            <w:tcW w:w="934" w:type="dxa"/>
            <w:vAlign w:val="top"/>
          </w:tcPr>
          <w:p>
            <w:pPr>
              <w:spacing w:line="360" w:lineRule="auto"/>
              <w:rPr>
                <w:rFonts w:ascii="仿宋_GB2312" w:hAnsi="仿宋" w:eastAsia="仿宋_GB2312" w:cs="宋体"/>
                <w:sz w:val="24"/>
                <w:szCs w:val="24"/>
              </w:rPr>
            </w:pPr>
          </w:p>
        </w:tc>
        <w:tc>
          <w:tcPr>
            <w:tcW w:w="10653" w:type="dxa"/>
            <w:vAlign w:val="top"/>
          </w:tcPr>
          <w:p>
            <w:pPr>
              <w:spacing w:line="360" w:lineRule="auto"/>
              <w:rPr>
                <w:rFonts w:ascii="宋体" w:hAnsi="宋体" w:cs="宋体"/>
                <w:szCs w:val="21"/>
              </w:rPr>
            </w:pPr>
            <w:r>
              <w:rPr>
                <w:rFonts w:hint="eastAsia" w:ascii="宋体" w:hAnsi="宋体" w:cs="宋体"/>
                <w:szCs w:val="21"/>
              </w:rPr>
              <w:t>未收到顾客大投诉；电话顾客电话及时处理；</w:t>
            </w:r>
          </w:p>
          <w:p>
            <w:pPr>
              <w:spacing w:line="360" w:lineRule="auto"/>
              <w:rPr>
                <w:rFonts w:ascii="宋体" w:hAnsi="宋体" w:cs="宋体"/>
                <w:szCs w:val="21"/>
              </w:rPr>
            </w:pPr>
            <w:r>
              <w:rPr>
                <w:rFonts w:hint="eastAsia" w:ascii="宋体" w:hAnsi="宋体" w:cs="宋体"/>
                <w:szCs w:val="21"/>
              </w:rPr>
              <w:t>未有产品召回情况。</w:t>
            </w:r>
          </w:p>
        </w:tc>
        <w:tc>
          <w:tcPr>
            <w:tcW w:w="1222"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900" w:type="dxa"/>
            <w:vAlign w:val="top"/>
          </w:tcPr>
          <w:p>
            <w:pPr>
              <w:spacing w:line="360" w:lineRule="auto"/>
              <w:rPr>
                <w:rFonts w:ascii="仿宋_GB2312" w:hAnsi="仿宋" w:eastAsia="仿宋_GB2312" w:cs="宋体"/>
                <w:sz w:val="24"/>
                <w:szCs w:val="24"/>
              </w:rPr>
            </w:pPr>
            <w:r>
              <w:rPr>
                <w:rFonts w:hint="eastAsia" w:ascii="宋体" w:hAnsi="宋体" w:cs="Arial"/>
                <w:spacing w:val="-6"/>
                <w:sz w:val="21"/>
                <w:szCs w:val="21"/>
                <w:lang w:val="en-US" w:eastAsia="zh-CN"/>
              </w:rPr>
              <w:t>证书、标识使用情况；上次审核不符合整改情况。</w:t>
            </w:r>
          </w:p>
        </w:tc>
        <w:tc>
          <w:tcPr>
            <w:tcW w:w="934" w:type="dxa"/>
            <w:vAlign w:val="top"/>
          </w:tcPr>
          <w:p>
            <w:pPr>
              <w:spacing w:line="360" w:lineRule="auto"/>
              <w:rPr>
                <w:rFonts w:ascii="仿宋_GB2312" w:hAnsi="仿宋" w:eastAsia="仿宋_GB2312" w:cs="宋体"/>
                <w:sz w:val="24"/>
                <w:szCs w:val="24"/>
              </w:rPr>
            </w:pPr>
          </w:p>
        </w:tc>
        <w:tc>
          <w:tcPr>
            <w:tcW w:w="10653" w:type="dxa"/>
            <w:vAlign w:val="top"/>
          </w:tcPr>
          <w:p>
            <w:pPr>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与公司管理者代表沟通，企业对认证证书用于项目投标，未使用认证标志，对认证证书、标志的使用情况满足要求。</w:t>
            </w:r>
          </w:p>
          <w:p>
            <w:pPr>
              <w:spacing w:line="360" w:lineRule="auto"/>
              <w:rPr>
                <w:rFonts w:ascii="宋体" w:hAnsi="宋体" w:cs="宋体"/>
                <w:szCs w:val="21"/>
              </w:rPr>
            </w:pPr>
            <w:r>
              <w:rPr>
                <w:rFonts w:hint="eastAsia" w:ascii="Times New Roman" w:hAnsi="Times New Roman" w:eastAsia="宋体" w:cs="Times New Roman"/>
                <w:lang w:val="en-US" w:eastAsia="zh-CN"/>
              </w:rPr>
              <w:t>验证了上次审核发现不符合项的整改情况，提供了整改记录，以及相关的培训记录，经验证，措施有效。</w:t>
            </w:r>
          </w:p>
        </w:tc>
        <w:tc>
          <w:tcPr>
            <w:tcW w:w="1222" w:type="dxa"/>
          </w:tcPr>
          <w:p>
            <w:pPr>
              <w:spacing w:line="360" w:lineRule="auto"/>
              <w:rPr>
                <w:rFonts w:hint="eastAsi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709" w:type="dxa"/>
            <w:gridSpan w:val="4"/>
          </w:tcPr>
          <w:p>
            <w:pPr>
              <w:spacing w:line="360" w:lineRule="auto"/>
            </w:pPr>
            <w:r>
              <w:rPr>
                <w:rFonts w:hint="eastAsia"/>
                <w:lang w:val="en-US" w:eastAsia="zh-CN"/>
              </w:rPr>
              <w:t>备注：</w:t>
            </w:r>
          </w:p>
        </w:tc>
      </w:tr>
    </w:tbl>
    <w:p>
      <w:r>
        <w:ptab w:relativeTo="margin" w:alignment="center" w:leader="none"/>
      </w:r>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JhN2U4Y2Q5MGE2Mzc1MDlkNDVmNzZkYmRlMTYyYjcifQ=="/>
  </w:docVars>
  <w:rsids>
    <w:rsidRoot w:val="00DD4B80"/>
    <w:rsid w:val="0001713F"/>
    <w:rsid w:val="000B7900"/>
    <w:rsid w:val="000F7902"/>
    <w:rsid w:val="0011067E"/>
    <w:rsid w:val="00127F7B"/>
    <w:rsid w:val="001532AC"/>
    <w:rsid w:val="001809F6"/>
    <w:rsid w:val="00181EB1"/>
    <w:rsid w:val="00183A7A"/>
    <w:rsid w:val="001A69D6"/>
    <w:rsid w:val="002033D2"/>
    <w:rsid w:val="002139C8"/>
    <w:rsid w:val="0022273D"/>
    <w:rsid w:val="00275B91"/>
    <w:rsid w:val="003010DA"/>
    <w:rsid w:val="0031380D"/>
    <w:rsid w:val="00357FBC"/>
    <w:rsid w:val="00393A52"/>
    <w:rsid w:val="003B7004"/>
    <w:rsid w:val="004078AB"/>
    <w:rsid w:val="00477697"/>
    <w:rsid w:val="00480008"/>
    <w:rsid w:val="00480286"/>
    <w:rsid w:val="004B16A6"/>
    <w:rsid w:val="00586AC9"/>
    <w:rsid w:val="00593385"/>
    <w:rsid w:val="005A0FB6"/>
    <w:rsid w:val="005B321D"/>
    <w:rsid w:val="005F00FB"/>
    <w:rsid w:val="00621EDF"/>
    <w:rsid w:val="0069333A"/>
    <w:rsid w:val="006D6AFE"/>
    <w:rsid w:val="007A04D1"/>
    <w:rsid w:val="007C65D6"/>
    <w:rsid w:val="00883226"/>
    <w:rsid w:val="008C7B11"/>
    <w:rsid w:val="009221D5"/>
    <w:rsid w:val="00951F9E"/>
    <w:rsid w:val="00954EA8"/>
    <w:rsid w:val="009C3AF7"/>
    <w:rsid w:val="00A07938"/>
    <w:rsid w:val="00A42243"/>
    <w:rsid w:val="00AB02D4"/>
    <w:rsid w:val="00B0299C"/>
    <w:rsid w:val="00B36031"/>
    <w:rsid w:val="00B67994"/>
    <w:rsid w:val="00BB6546"/>
    <w:rsid w:val="00CD400A"/>
    <w:rsid w:val="00CD6BA8"/>
    <w:rsid w:val="00D564AF"/>
    <w:rsid w:val="00D56FEB"/>
    <w:rsid w:val="00D774A9"/>
    <w:rsid w:val="00DD4B80"/>
    <w:rsid w:val="00E61681"/>
    <w:rsid w:val="00E77027"/>
    <w:rsid w:val="00EF3EBB"/>
    <w:rsid w:val="00F52349"/>
    <w:rsid w:val="00F804BA"/>
    <w:rsid w:val="04A334D6"/>
    <w:rsid w:val="053E259F"/>
    <w:rsid w:val="07713FF2"/>
    <w:rsid w:val="087E2C00"/>
    <w:rsid w:val="0D490622"/>
    <w:rsid w:val="0FC87CEA"/>
    <w:rsid w:val="10363DE7"/>
    <w:rsid w:val="10670D7E"/>
    <w:rsid w:val="107B59E5"/>
    <w:rsid w:val="110E5BD1"/>
    <w:rsid w:val="1167590B"/>
    <w:rsid w:val="141005E1"/>
    <w:rsid w:val="15112004"/>
    <w:rsid w:val="151804A0"/>
    <w:rsid w:val="1B5C56DB"/>
    <w:rsid w:val="1C0876C1"/>
    <w:rsid w:val="1E5C3A77"/>
    <w:rsid w:val="213C2ECE"/>
    <w:rsid w:val="24062BA4"/>
    <w:rsid w:val="27BB27D3"/>
    <w:rsid w:val="2BB8135F"/>
    <w:rsid w:val="2CBC054B"/>
    <w:rsid w:val="2D2F5AA2"/>
    <w:rsid w:val="2D303E88"/>
    <w:rsid w:val="2E3F655A"/>
    <w:rsid w:val="30AC7027"/>
    <w:rsid w:val="30D57FF4"/>
    <w:rsid w:val="315F6EF0"/>
    <w:rsid w:val="32030C6C"/>
    <w:rsid w:val="3944127B"/>
    <w:rsid w:val="3B361CD8"/>
    <w:rsid w:val="42016B6E"/>
    <w:rsid w:val="44301E08"/>
    <w:rsid w:val="46E82D65"/>
    <w:rsid w:val="4AA14C14"/>
    <w:rsid w:val="4BB36B3C"/>
    <w:rsid w:val="4C931D3C"/>
    <w:rsid w:val="4CB26D75"/>
    <w:rsid w:val="4DC42B98"/>
    <w:rsid w:val="4EAC2CD2"/>
    <w:rsid w:val="4EF214B3"/>
    <w:rsid w:val="504B11EE"/>
    <w:rsid w:val="51F21ABD"/>
    <w:rsid w:val="53750661"/>
    <w:rsid w:val="545F0285"/>
    <w:rsid w:val="568F49F9"/>
    <w:rsid w:val="576F2F50"/>
    <w:rsid w:val="59111666"/>
    <w:rsid w:val="59FA6B63"/>
    <w:rsid w:val="5A3A4A51"/>
    <w:rsid w:val="5D656145"/>
    <w:rsid w:val="5DD56FF0"/>
    <w:rsid w:val="5FC82583"/>
    <w:rsid w:val="60F3236F"/>
    <w:rsid w:val="610D7A9C"/>
    <w:rsid w:val="611A103E"/>
    <w:rsid w:val="62AC3D93"/>
    <w:rsid w:val="63FA332B"/>
    <w:rsid w:val="69614E77"/>
    <w:rsid w:val="6C277CFE"/>
    <w:rsid w:val="71844D86"/>
    <w:rsid w:val="71CD5108"/>
    <w:rsid w:val="72FA0C86"/>
    <w:rsid w:val="73A56221"/>
    <w:rsid w:val="7C8D4639"/>
    <w:rsid w:val="7F7826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_Style 2"/>
    <w:basedOn w:val="1"/>
    <w:qFormat/>
    <w:uiPriority w:val="34"/>
    <w:pPr>
      <w:ind w:firstLine="420" w:firstLineChars="200"/>
    </w:pPr>
    <w:rPr>
      <w:rFonts w:ascii="Calibri" w:hAnsi="Calibri"/>
      <w:sz w:val="24"/>
      <w:szCs w:val="22"/>
    </w:rPr>
  </w:style>
  <w:style w:type="paragraph" w:customStyle="1" w:styleId="13">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styleId="14">
    <w:name w:val="List Paragraph"/>
    <w:basedOn w:val="1"/>
    <w:qFormat/>
    <w:uiPriority w:val="99"/>
    <w:pPr>
      <w:ind w:firstLine="420" w:firstLineChars="200"/>
    </w:pPr>
  </w:style>
  <w:style w:type="paragraph" w:customStyle="1" w:styleId="15">
    <w:name w:val="列出段落3"/>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6002</Words>
  <Characters>6439</Characters>
  <Lines>66</Lines>
  <Paragraphs>18</Paragraphs>
  <TotalTime>0</TotalTime>
  <ScaleCrop>false</ScaleCrop>
  <LinksUpToDate>false</LinksUpToDate>
  <CharactersWithSpaces>6492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2020-05-15T00:42:00Z</dcterms:created>
  <dc:creator>微软用户</dc:creator>
  <cp:lastModifiedBy>LIL</cp:lastModifiedBy>
  <dcterms:modified xsi:type="dcterms:W3CDTF">2022-05-26T07:14:32Z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9DE4A6E9349A44BC96FCE0031768344C</vt:lpwstr>
  </property>
</Properties>
</file>