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1313"/>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7"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313"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sz w:val="21"/>
                <w:szCs w:val="21"/>
                <w:lang w:val="en-US" w:eastAsia="zh-CN"/>
              </w:rPr>
            </w:pPr>
            <w:r>
              <w:rPr>
                <w:rFonts w:hint="eastAsia"/>
                <w:sz w:val="21"/>
                <w:szCs w:val="21"/>
              </w:rPr>
              <w:t>受审核部门：</w:t>
            </w:r>
            <w:r>
              <w:rPr>
                <w:rFonts w:hint="eastAsia"/>
                <w:sz w:val="21"/>
                <w:szCs w:val="21"/>
                <w:lang w:val="en-US" w:eastAsia="zh-CN"/>
              </w:rPr>
              <w:t xml:space="preserve">工程部      </w:t>
            </w:r>
            <w:r>
              <w:rPr>
                <w:rFonts w:hint="eastAsia"/>
                <w:sz w:val="21"/>
                <w:szCs w:val="21"/>
              </w:rPr>
              <w:t xml:space="preserve"> 主管领导：</w:t>
            </w:r>
            <w:r>
              <w:rPr>
                <w:rFonts w:hint="eastAsia"/>
                <w:sz w:val="21"/>
                <w:szCs w:val="21"/>
                <w:lang w:val="en-US" w:eastAsia="zh-CN"/>
              </w:rPr>
              <w:t>武晓伟</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陪同人员：</w:t>
            </w:r>
            <w:r>
              <w:rPr>
                <w:rFonts w:hint="eastAsia"/>
                <w:sz w:val="21"/>
                <w:szCs w:val="21"/>
                <w:lang w:val="en-US" w:eastAsia="zh-CN"/>
              </w:rPr>
              <w:t>焦兴武</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7" w:type="dxa"/>
            <w:vMerge w:val="continue"/>
            <w:vAlign w:val="center"/>
          </w:tcPr>
          <w:p/>
        </w:tc>
        <w:tc>
          <w:tcPr>
            <w:tcW w:w="1313" w:type="dxa"/>
            <w:vMerge w:val="continue"/>
            <w:vAlign w:val="center"/>
          </w:tcPr>
          <w:p/>
        </w:tc>
        <w:tc>
          <w:tcPr>
            <w:tcW w:w="10004" w:type="dxa"/>
            <w:vAlign w:val="center"/>
          </w:tcPr>
          <w:p>
            <w:pPr>
              <w:snapToGrid w:val="0"/>
              <w:spacing w:line="320" w:lineRule="exact"/>
              <w:rPr>
                <w:rFonts w:hint="default" w:eastAsia="宋体"/>
                <w:sz w:val="21"/>
                <w:szCs w:val="21"/>
                <w:lang w:val="en-US" w:eastAsia="zh-CN"/>
              </w:rPr>
            </w:pPr>
            <w:r>
              <w:rPr>
                <w:rFonts w:hint="eastAsia"/>
                <w:sz w:val="21"/>
                <w:szCs w:val="21"/>
              </w:rPr>
              <w:t>审核员：</w:t>
            </w:r>
            <w:r>
              <w:rPr>
                <w:rFonts w:hint="eastAsia"/>
                <w:sz w:val="21"/>
                <w:szCs w:val="21"/>
                <w:lang w:val="en-US" w:eastAsia="zh-CN"/>
              </w:rPr>
              <w:t>李俐、陈飞燕</w:t>
            </w:r>
            <w:r>
              <w:rPr>
                <w:rFonts w:hint="eastAsia"/>
                <w:sz w:val="21"/>
                <w:szCs w:val="21"/>
              </w:rPr>
              <w:t xml:space="preserve">  </w:t>
            </w:r>
            <w:r>
              <w:rPr>
                <w:rFonts w:hint="eastAsia"/>
                <w:sz w:val="21"/>
                <w:szCs w:val="21"/>
                <w:lang w:val="en-US" w:eastAsia="zh-CN"/>
              </w:rPr>
              <w:t xml:space="preserve">   </w:t>
            </w:r>
            <w:r>
              <w:rPr>
                <w:rFonts w:hint="eastAsia"/>
                <w:sz w:val="21"/>
                <w:szCs w:val="21"/>
              </w:rPr>
              <w:t>审核时间：</w:t>
            </w:r>
            <w:r>
              <w:rPr>
                <w:rFonts w:hint="eastAsia" w:ascii="宋体" w:hAnsi="宋体"/>
                <w:b/>
                <w:bCs/>
                <w:sz w:val="21"/>
                <w:szCs w:val="21"/>
                <w:lang w:val="en-US" w:eastAsia="zh-CN"/>
              </w:rPr>
              <w:t xml:space="preserve">2022.5.12      </w:t>
            </w:r>
            <w:bookmarkStart w:id="0" w:name="_GoBack"/>
            <w:bookmarkEnd w:id="0"/>
            <w:r>
              <w:rPr>
                <w:rFonts w:hint="eastAsia" w:ascii="宋体" w:hAnsi="宋体"/>
                <w:b/>
                <w:bCs/>
                <w:sz w:val="21"/>
                <w:szCs w:val="21"/>
                <w:lang w:eastAsia="zh-CN"/>
              </w:rPr>
              <w:t>（</w:t>
            </w:r>
            <w:r>
              <w:rPr>
                <w:rFonts w:hint="eastAsia" w:ascii="宋体" w:hAnsi="宋体"/>
                <w:b w:val="0"/>
                <w:bCs w:val="0"/>
                <w:color w:val="auto"/>
                <w:sz w:val="21"/>
                <w:szCs w:val="21"/>
                <w:lang w:val="en-US" w:eastAsia="zh-CN"/>
              </w:rPr>
              <w:t>远程视频、微信审核项目部</w:t>
            </w:r>
            <w:r>
              <w:rPr>
                <w:rFonts w:hint="eastAsia" w:ascii="宋体" w:hAnsi="宋体"/>
                <w:b/>
                <w:bCs/>
                <w:sz w:val="21"/>
                <w:szCs w:val="21"/>
                <w:lang w:eastAsia="zh-CN"/>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7" w:type="dxa"/>
            <w:vMerge w:val="continue"/>
            <w:vAlign w:val="center"/>
          </w:tcPr>
          <w:p/>
        </w:tc>
        <w:tc>
          <w:tcPr>
            <w:tcW w:w="1313" w:type="dxa"/>
            <w:vMerge w:val="continue"/>
            <w:vAlign w:val="center"/>
          </w:tcPr>
          <w:p/>
        </w:tc>
        <w:tc>
          <w:tcPr>
            <w:tcW w:w="10004" w:type="dxa"/>
            <w:vAlign w:val="center"/>
          </w:tcPr>
          <w:p>
            <w:pPr>
              <w:spacing w:line="300" w:lineRule="exact"/>
              <w:rPr>
                <w:rFonts w:hint="eastAsia"/>
                <w:sz w:val="21"/>
                <w:szCs w:val="21"/>
              </w:rPr>
            </w:pPr>
            <w:r>
              <w:rPr>
                <w:rFonts w:hint="eastAsia"/>
                <w:sz w:val="21"/>
                <w:szCs w:val="21"/>
              </w:rPr>
              <w:t>审核条款：</w:t>
            </w:r>
          </w:p>
          <w:p>
            <w:pPr>
              <w:spacing w:line="300" w:lineRule="exact"/>
              <w:rPr>
                <w:rFonts w:hint="eastAsia" w:ascii="Times New Roman" w:hAnsi="Times New Roman" w:cs="Times New Roman"/>
                <w:sz w:val="21"/>
                <w:szCs w:val="21"/>
                <w:lang w:val="en-US" w:eastAsia="zh-CN"/>
              </w:rPr>
            </w:pPr>
            <w:r>
              <w:rPr>
                <w:rFonts w:hint="eastAsia" w:ascii="Times New Roman" w:hAnsi="Times New Roman" w:cs="Times New Roman"/>
                <w:sz w:val="21"/>
                <w:szCs w:val="21"/>
              </w:rPr>
              <w:t>Q/J:5.3（4.3）</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6.2(3.2)</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7.1.3(7)</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7.1.4(10.5.1)</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7.1.5(11.4.2)</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8.1、（10.1.1/10.2）</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8.3(10.3)</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 xml:space="preserve">8.5(10.4、10.5、10.6) </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8.6（11.3.1-3）</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8.7（8.3、8.5、9.4、11.5）</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10.2(12.3)</w:t>
            </w:r>
          </w:p>
          <w:p>
            <w:pPr>
              <w:rPr>
                <w:sz w:val="21"/>
                <w:szCs w:val="21"/>
              </w:rPr>
            </w:pPr>
            <w:r>
              <w:rPr>
                <w:rFonts w:hint="eastAsia" w:ascii="宋体" w:hAnsi="宋体" w:cs="Arial"/>
                <w:sz w:val="21"/>
                <w:szCs w:val="21"/>
                <w:lang w:eastAsia="zh-CN"/>
              </w:rPr>
              <w:t>（</w:t>
            </w:r>
            <w:r>
              <w:rPr>
                <w:rFonts w:hint="eastAsia" w:asciiTheme="minorEastAsia" w:hAnsiTheme="minorEastAsia" w:eastAsiaTheme="minorEastAsia" w:cstheme="minorEastAsia"/>
                <w:b w:val="0"/>
                <w:bCs w:val="0"/>
                <w:sz w:val="21"/>
                <w:szCs w:val="21"/>
                <w:lang w:val="en-US" w:eastAsia="zh-CN"/>
              </w:rPr>
              <w:t>专业条款审核有陈飞燕的专业支持</w:t>
            </w:r>
            <w:r>
              <w:rPr>
                <w:rFonts w:hint="eastAsia" w:ascii="宋体" w:hAnsi="宋体" w:cs="Arial"/>
                <w:sz w:val="21"/>
                <w:szCs w:val="21"/>
                <w:lang w:eastAsia="zh-CN"/>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07" w:type="dxa"/>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岗位、职责、权限、责任</w:t>
            </w:r>
          </w:p>
          <w:p>
            <w:pPr>
              <w:spacing w:line="360" w:lineRule="auto"/>
              <w:rPr>
                <w:rFonts w:hint="eastAsia" w:asciiTheme="minorEastAsia" w:hAnsiTheme="minorEastAsia" w:eastAsiaTheme="minorEastAsia" w:cstheme="minorEastAsia"/>
                <w:kern w:val="2"/>
                <w:sz w:val="21"/>
                <w:szCs w:val="21"/>
                <w:lang w:val="en-US" w:eastAsia="zh-CN" w:bidi="ar-SA"/>
              </w:rPr>
            </w:pPr>
          </w:p>
        </w:tc>
        <w:tc>
          <w:tcPr>
            <w:tcW w:w="1313" w:type="dxa"/>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Q</w:t>
            </w:r>
            <w:r>
              <w:rPr>
                <w:rFonts w:hint="eastAsia" w:asciiTheme="minorEastAsia" w:hAnsiTheme="minorEastAsia" w:eastAsiaTheme="minorEastAsia" w:cstheme="minorEastAsia"/>
                <w:sz w:val="21"/>
                <w:szCs w:val="21"/>
              </w:rPr>
              <w:t>:5.3</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J</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3</w:t>
            </w:r>
          </w:p>
          <w:p>
            <w:pPr>
              <w:spacing w:line="360" w:lineRule="auto"/>
              <w:rPr>
                <w:rFonts w:hint="eastAsia" w:asciiTheme="minorEastAsia" w:hAnsiTheme="minorEastAsia" w:eastAsiaTheme="minorEastAsia" w:cstheme="minorEastAsia"/>
                <w:kern w:val="2"/>
                <w:sz w:val="21"/>
                <w:szCs w:val="21"/>
                <w:lang w:val="en-US" w:eastAsia="zh-CN" w:bidi="ar-SA"/>
              </w:rPr>
            </w:pPr>
          </w:p>
        </w:tc>
        <w:tc>
          <w:tcPr>
            <w:tcW w:w="10004" w:type="dxa"/>
            <w:vAlign w:val="top"/>
          </w:tcPr>
          <w:p>
            <w:pPr>
              <w:spacing w:line="360" w:lineRule="auto"/>
              <w:rPr>
                <w:rFonts w:hint="eastAsia"/>
              </w:rPr>
            </w:pPr>
            <w:r>
              <w:rPr>
                <w:rFonts w:hint="eastAsia"/>
                <w:lang w:eastAsia="zh-CN"/>
              </w:rPr>
              <w:t xml:space="preserve">工程部   </w:t>
            </w:r>
            <w:r>
              <w:rPr>
                <w:rFonts w:hint="eastAsia"/>
              </w:rPr>
              <w:t>负责人：</w:t>
            </w:r>
            <w:r>
              <w:rPr>
                <w:rFonts w:hint="eastAsia"/>
                <w:lang w:eastAsia="zh-CN"/>
              </w:rPr>
              <w:t xml:space="preserve">武晓伟 </w:t>
            </w:r>
          </w:p>
          <w:p>
            <w:pPr>
              <w:spacing w:line="360" w:lineRule="auto"/>
              <w:rPr>
                <w:rFonts w:hint="eastAsia"/>
              </w:rPr>
            </w:pPr>
            <w:r>
              <w:rPr>
                <w:rFonts w:hint="eastAsia"/>
              </w:rPr>
              <w:t>查《管理手册》5.3条款规定了本部门的职责和权限</w:t>
            </w:r>
            <w:r>
              <w:rPr>
                <w:rFonts w:hint="eastAsia"/>
                <w:lang w:eastAsia="zh-CN"/>
              </w:rPr>
              <w:t xml:space="preserve">   </w:t>
            </w:r>
            <w:r>
              <w:rPr>
                <w:rFonts w:hint="eastAsia"/>
              </w:rPr>
              <w:t>主要负责：供建筑机电安装工程、电子与智能化工程、防雷工程的施工、通信工程施工日常工作；负责项目计划编制和组织实施；负责特殊过程确认；负责产品标识管理；负责产品防护管理；负责物资的日常管理工作；负责产品、质量、环境和职业健康安全绩效的监测与评价；负责业务接洽，组织投标，签订合同；负责招标文件和合同评审，组织编制投标文件；负责组织顾客满意度调查，收集和分析相关数据，必要时采用统计技术;负责与顾客的沟通，受理和处理顾客投诉;</w:t>
            </w:r>
          </w:p>
          <w:p>
            <w:pPr>
              <w:spacing w:line="360" w:lineRule="auto"/>
              <w:rPr>
                <w:rFonts w:hint="eastAsia"/>
              </w:rPr>
            </w:pPr>
            <w:r>
              <w:rPr>
                <w:rFonts w:hint="eastAsia"/>
              </w:rPr>
              <w:t>负责对工作流程的执行情况进行监督、检查；负责对不合格产品和服务的控制；负责监视和测量设备的有效控制；负责事件调查、不合格/不符合与纠正措施的归口管理；负责监控工作过程每个关健点，发现问题及时纠正；</w:t>
            </w:r>
          </w:p>
          <w:p>
            <w:pPr>
              <w:spacing w:line="360" w:lineRule="auto"/>
              <w:ind w:firstLine="420" w:firstLineChars="200"/>
              <w:rPr>
                <w:rFonts w:hint="default"/>
                <w:lang w:val="en-US" w:eastAsia="zh-CN"/>
              </w:rPr>
            </w:pPr>
            <w:r>
              <w:rPr>
                <w:rFonts w:hint="eastAsia" w:ascii="宋体" w:hAnsi="宋体" w:cs="宋体"/>
                <w:sz w:val="21"/>
                <w:szCs w:val="21"/>
              </w:rPr>
              <w:t>询问</w:t>
            </w:r>
            <w:r>
              <w:rPr>
                <w:rFonts w:hint="eastAsia"/>
                <w:lang w:eastAsia="zh-CN"/>
              </w:rPr>
              <w:t>工程部</w:t>
            </w:r>
            <w:r>
              <w:rPr>
                <w:rFonts w:hint="eastAsia" w:ascii="宋体" w:hAnsi="宋体" w:cs="宋体"/>
                <w:sz w:val="21"/>
                <w:szCs w:val="21"/>
              </w:rPr>
              <w:t>人员，基本清楚本部门职责。</w:t>
            </w:r>
          </w:p>
        </w:tc>
        <w:tc>
          <w:tcPr>
            <w:tcW w:w="1585" w:type="dxa"/>
          </w:tcPr>
          <w:p>
            <w:r>
              <w:rPr>
                <w:rFonts w:hint="eastAsia"/>
              </w:rPr>
              <w:t>Y</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07" w:type="dxa"/>
            <w:vAlign w:val="top"/>
          </w:tcPr>
          <w:p>
            <w:pPr>
              <w:spacing w:line="36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auto"/>
                <w:sz w:val="21"/>
                <w:szCs w:val="21"/>
              </w:rPr>
              <w:t>目标、指标及完成情况</w:t>
            </w:r>
          </w:p>
        </w:tc>
        <w:tc>
          <w:tcPr>
            <w:tcW w:w="1313" w:type="dxa"/>
            <w:vAlign w:val="top"/>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Q6.2</w:t>
            </w:r>
          </w:p>
          <w:p>
            <w:pPr>
              <w:spacing w:line="36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J</w:t>
            </w:r>
            <w:r>
              <w:rPr>
                <w:rFonts w:hint="eastAsia" w:asciiTheme="minorEastAsia" w:hAnsiTheme="minorEastAsia" w:eastAsiaTheme="minorEastAsia" w:cstheme="minorEastAsia"/>
                <w:color w:val="auto"/>
                <w:sz w:val="21"/>
                <w:szCs w:val="21"/>
              </w:rPr>
              <w:t>3.2</w:t>
            </w:r>
          </w:p>
        </w:tc>
        <w:tc>
          <w:tcPr>
            <w:tcW w:w="10004" w:type="dxa"/>
            <w:vAlign w:val="top"/>
          </w:tcPr>
          <w:p>
            <w:pPr>
              <w:spacing w:line="360" w:lineRule="auto"/>
              <w:rPr>
                <w:rFonts w:hint="eastAsia" w:asciiTheme="minorEastAsia" w:hAnsiTheme="minorEastAsia" w:eastAsiaTheme="minorEastAsia" w:cstheme="minorEastAsia"/>
                <w:sz w:val="21"/>
                <w:szCs w:val="21"/>
              </w:rPr>
            </w:pPr>
            <w:r>
              <w:rPr>
                <w:rFonts w:hint="eastAsia"/>
                <w:color w:val="auto"/>
              </w:rPr>
              <w:t>部</w:t>
            </w:r>
            <w:r>
              <w:rPr>
                <w:rFonts w:hint="eastAsia" w:asciiTheme="minorEastAsia" w:hAnsiTheme="minorEastAsia" w:eastAsiaTheme="minorEastAsia" w:cstheme="minorEastAsia"/>
                <w:sz w:val="21"/>
                <w:szCs w:val="21"/>
              </w:rPr>
              <w:t xml:space="preserve">门质量目标：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）合同履约率100%；</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施工项目</w:t>
            </w:r>
            <w:r>
              <w:rPr>
                <w:rFonts w:hint="eastAsia" w:asciiTheme="minorEastAsia" w:hAnsiTheme="minorEastAsia" w:eastAsiaTheme="minorEastAsia" w:cstheme="minorEastAsia"/>
                <w:sz w:val="21"/>
                <w:szCs w:val="21"/>
              </w:rPr>
              <w:t>合格率100%</w:t>
            </w:r>
            <w:r>
              <w:rPr>
                <w:rFonts w:hint="eastAsia" w:asciiTheme="minorEastAsia" w:hAnsiTheme="minorEastAsia" w:eastAsiaTheme="minorEastAsia" w:cstheme="minorEastAsia"/>
                <w:sz w:val="21"/>
                <w:szCs w:val="21"/>
                <w:lang w:eastAsia="zh-CN"/>
              </w:rPr>
              <w:t>；</w:t>
            </w:r>
          </w:p>
          <w:p>
            <w:pPr>
              <w:pStyle w:val="2"/>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抽查</w:t>
            </w:r>
            <w:r>
              <w:rPr>
                <w:rFonts w:hint="eastAsia" w:asciiTheme="minorEastAsia" w:hAnsiTheme="minorEastAsia" w:eastAsiaTheme="minorEastAsia" w:cstheme="minorEastAsia"/>
                <w:sz w:val="21"/>
                <w:szCs w:val="21"/>
                <w:lang w:val="en-US" w:eastAsia="zh-CN"/>
              </w:rPr>
              <w:t>2021年目标考核情况，已经达成目标。</w:t>
            </w:r>
          </w:p>
          <w:p>
            <w:pPr>
              <w:spacing w:line="360" w:lineRule="auto"/>
              <w:rPr>
                <w:rFonts w:hint="eastAsia" w:ascii="宋体" w:hAnsi="宋体" w:cs="宋体"/>
                <w:sz w:val="21"/>
                <w:szCs w:val="21"/>
              </w:rPr>
            </w:pPr>
            <w:r>
              <w:rPr>
                <w:rFonts w:hint="eastAsia" w:asciiTheme="minorEastAsia" w:hAnsiTheme="minorEastAsia" w:eastAsiaTheme="minorEastAsia" w:cstheme="minorEastAsia"/>
                <w:bCs/>
                <w:spacing w:val="10"/>
                <w:kern w:val="2"/>
                <w:sz w:val="21"/>
                <w:szCs w:val="21"/>
                <w:lang w:val="en-US" w:eastAsia="zh-CN" w:bidi="ar-SA"/>
              </w:rPr>
              <w:t>统计人：孟宏涛         审核：李苏燕         批准：周东福        日期：2022年1月4日</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07" w:type="dxa"/>
            <w:vAlign w:val="center"/>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基础设施</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过程运行环境</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监视和测量资源管理管理</w:t>
            </w:r>
          </w:p>
        </w:tc>
        <w:tc>
          <w:tcPr>
            <w:tcW w:w="1313" w:type="dxa"/>
            <w:vAlign w:val="center"/>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Q7.1.3</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J:6.1-6.3</w:t>
            </w: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Q7.1.4</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J:10.5.1</w:t>
            </w: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Q7.1.5</w:t>
            </w:r>
          </w:p>
          <w:p>
            <w:pPr>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J:11.1.2、11.5</w:t>
            </w:r>
          </w:p>
        </w:tc>
        <w:tc>
          <w:tcPr>
            <w:tcW w:w="10004" w:type="dxa"/>
            <w:vAlign w:val="center"/>
          </w:tcPr>
          <w:p>
            <w:pPr>
              <w:spacing w:line="360" w:lineRule="auto"/>
              <w:ind w:firstLine="420" w:firstLineChars="200"/>
              <w:rPr>
                <w:rFonts w:hint="eastAsia" w:ascii="宋体" w:hAnsi="宋体" w:eastAsia="宋体" w:cs="宋体"/>
                <w:szCs w:val="21"/>
              </w:rPr>
            </w:pPr>
            <w:r>
              <w:rPr>
                <w:rFonts w:hint="eastAsia"/>
              </w:rPr>
              <w:t>组织提供的</w:t>
            </w:r>
            <w:r>
              <w:rPr>
                <w:rFonts w:hint="eastAsia"/>
                <w:lang w:val="en-US" w:eastAsia="zh-CN"/>
              </w:rPr>
              <w:t>建筑机电安装工程、电子与智能化工程、防雷工程的施工、通信工程施工、仪器仪表，电子产品（建筑智能化系统工程产品）、机电产品（机电设备安装工程产品）的销售</w:t>
            </w:r>
            <w:r>
              <w:rPr>
                <w:rFonts w:hint="eastAsia"/>
              </w:rPr>
              <w:t>服务，在手册中7</w:t>
            </w:r>
            <w:r>
              <w:t>.1.3</w:t>
            </w:r>
            <w:r>
              <w:rPr>
                <w:rFonts w:hint="eastAsia"/>
              </w:rPr>
              <w:t>中对基础设施，7.1.4过程运行环境</w:t>
            </w:r>
            <w:r>
              <w:rPr>
                <w:rFonts w:hint="eastAsia"/>
                <w:lang w:eastAsia="zh-CN"/>
              </w:rPr>
              <w:t>，</w:t>
            </w:r>
            <w:r>
              <w:rPr>
                <w:rFonts w:hint="eastAsia"/>
              </w:rPr>
              <w:t>7</w:t>
            </w:r>
            <w:r>
              <w:t>.1.5</w:t>
            </w:r>
            <w:r>
              <w:rPr>
                <w:rFonts w:hint="eastAsia"/>
              </w:rPr>
              <w:t>中对监视和测量资源管理进行了规定</w:t>
            </w:r>
            <w:r>
              <w:rPr>
                <w:rFonts w:hint="eastAsia"/>
                <w:lang w:eastAsia="zh-CN"/>
              </w:rPr>
              <w:t>；</w:t>
            </w:r>
            <w:r>
              <w:rPr>
                <w:rFonts w:hint="eastAsia"/>
                <w:lang w:val="en-US" w:eastAsia="zh-CN"/>
              </w:rPr>
              <w:t>办公、销售地址为：</w:t>
            </w:r>
            <w:r>
              <w:rPr>
                <w:rFonts w:hint="eastAsia" w:ascii="宋体" w:hAnsi="宋体" w:cs="宋体"/>
                <w:szCs w:val="21"/>
              </w:rPr>
              <w:t>陕西省西安市经济技术开发区凤城九路海博广场B</w:t>
            </w:r>
            <w:r>
              <w:rPr>
                <w:rFonts w:hint="eastAsia" w:ascii="宋体" w:hAnsi="宋体" w:eastAsia="宋体" w:cs="宋体"/>
                <w:szCs w:val="21"/>
              </w:rPr>
              <w:t>座2001室；办公面积</w:t>
            </w:r>
            <w:r>
              <w:rPr>
                <w:rFonts w:hint="eastAsia" w:ascii="宋体" w:hAnsi="宋体" w:eastAsia="宋体" w:cs="宋体"/>
                <w:szCs w:val="21"/>
                <w:lang w:val="en-US" w:eastAsia="zh-CN"/>
              </w:rPr>
              <w:t>173</w:t>
            </w:r>
            <w:r>
              <w:rPr>
                <w:rFonts w:hint="eastAsia" w:ascii="宋体" w:hAnsi="宋体" w:eastAsia="宋体" w:cs="宋体"/>
                <w:szCs w:val="21"/>
              </w:rPr>
              <w:t>平米，配置了办公电脑</w:t>
            </w:r>
            <w:r>
              <w:rPr>
                <w:rFonts w:hint="eastAsia" w:ascii="宋体" w:hAnsi="宋体" w:eastAsia="宋体" w:cs="宋体"/>
                <w:szCs w:val="21"/>
                <w:lang w:val="en-US" w:eastAsia="zh-CN"/>
              </w:rPr>
              <w:t>11</w:t>
            </w:r>
            <w:r>
              <w:rPr>
                <w:rFonts w:hint="eastAsia" w:ascii="宋体" w:hAnsi="宋体" w:eastAsia="宋体" w:cs="宋体"/>
                <w:szCs w:val="21"/>
              </w:rPr>
              <w:t>台；打印/复印机2台；传真机一部，办公桌椅、文件柜配置齐全。</w:t>
            </w:r>
          </w:p>
          <w:p>
            <w:pPr>
              <w:spacing w:line="360" w:lineRule="auto"/>
              <w:ind w:firstLine="420" w:firstLineChars="200"/>
              <w:rPr>
                <w:rFonts w:hint="default"/>
                <w:lang w:val="en-US" w:eastAsia="zh-CN"/>
              </w:rPr>
            </w:pPr>
            <w:r>
              <w:rPr>
                <w:rFonts w:hint="eastAsia" w:ascii="宋体" w:hAnsi="宋体" w:cs="宋体"/>
                <w:szCs w:val="21"/>
                <w:lang w:val="en-US" w:eastAsia="zh-CN"/>
              </w:rPr>
              <w:t>该场所为法人代表自有，查其房产证，编号为：陕（2019）西安市不动产权第0251994号。</w:t>
            </w:r>
          </w:p>
          <w:p>
            <w:pPr>
              <w:spacing w:line="360" w:lineRule="auto"/>
              <w:ind w:firstLine="420" w:firstLineChars="200"/>
              <w:rPr>
                <w:rFonts w:hint="default"/>
                <w:lang w:val="en-US" w:eastAsia="zh-CN"/>
              </w:rPr>
            </w:pPr>
            <w:r>
              <w:rPr>
                <w:rFonts w:hint="eastAsia"/>
                <w:lang w:val="en-US" w:eastAsia="zh-CN"/>
              </w:rPr>
              <w:t>抽查的临时施工地址：甘肃省庆阳市庆城县</w:t>
            </w:r>
          </w:p>
          <w:p>
            <w:pPr>
              <w:spacing w:line="360" w:lineRule="auto"/>
              <w:ind w:firstLine="420" w:firstLineChars="200"/>
              <w:rPr>
                <w:rFonts w:hint="eastAsia"/>
              </w:rPr>
            </w:pPr>
            <w:r>
              <w:rPr>
                <w:rFonts w:hint="eastAsia"/>
              </w:rPr>
              <w:t>现场查看所涉及的设备情况，</w:t>
            </w:r>
            <w:r>
              <w:rPr>
                <w:rFonts w:hint="eastAsia"/>
                <w:lang w:val="en-US" w:eastAsia="zh-CN"/>
              </w:rPr>
              <w:t>建筑机电安装工程、电子与智能化工程、防雷工程的施工、通信工程施工、仪器仪表，电子产品（建筑智能化系统工程产品）、机电产品（机电设备安装工程产品）的销售</w:t>
            </w:r>
            <w:r>
              <w:rPr>
                <w:rFonts w:hint="eastAsia"/>
              </w:rPr>
              <w:t>过程中使用的设备：电工常用工具</w:t>
            </w:r>
            <w:r>
              <w:rPr>
                <w:rFonts w:hint="eastAsia"/>
                <w:lang w:eastAsia="zh-CN"/>
              </w:rPr>
              <w:t>、</w:t>
            </w:r>
            <w:r>
              <w:rPr>
                <w:rFonts w:hint="eastAsia"/>
              </w:rPr>
              <w:t>便携式计算机</w:t>
            </w:r>
            <w:r>
              <w:rPr>
                <w:rFonts w:hint="eastAsia"/>
                <w:lang w:eastAsia="zh-CN"/>
              </w:rPr>
              <w:t>、</w:t>
            </w:r>
            <w:r>
              <w:rPr>
                <w:rFonts w:hint="eastAsia"/>
              </w:rPr>
              <w:t>多功能信号校准仪</w:t>
            </w:r>
            <w:r>
              <w:rPr>
                <w:rFonts w:hint="eastAsia"/>
                <w:lang w:eastAsia="zh-CN"/>
              </w:rPr>
              <w:t>、</w:t>
            </w:r>
            <w:r>
              <w:rPr>
                <w:rFonts w:hint="eastAsia"/>
              </w:rPr>
              <w:t>高精度油井综合测试仪或在线式功图校准仪</w:t>
            </w:r>
            <w:r>
              <w:rPr>
                <w:rFonts w:hint="eastAsia"/>
                <w:lang w:eastAsia="zh-CN"/>
              </w:rPr>
              <w:t>、</w:t>
            </w:r>
            <w:r>
              <w:rPr>
                <w:rFonts w:hint="eastAsia"/>
              </w:rPr>
              <w:t>数字式绝缘电阻测试仪</w:t>
            </w:r>
            <w:r>
              <w:rPr>
                <w:rFonts w:hint="eastAsia"/>
                <w:lang w:eastAsia="zh-CN"/>
              </w:rPr>
              <w:t>、</w:t>
            </w:r>
            <w:r>
              <w:rPr>
                <w:rFonts w:hint="eastAsia"/>
              </w:rPr>
              <w:t>数字式接地电阻测试仪</w:t>
            </w:r>
            <w:r>
              <w:rPr>
                <w:rFonts w:hint="eastAsia"/>
                <w:lang w:eastAsia="zh-CN"/>
              </w:rPr>
              <w:t>、</w:t>
            </w:r>
            <w:r>
              <w:rPr>
                <w:rFonts w:hint="eastAsia"/>
              </w:rPr>
              <w:t>巡线侧线仪</w:t>
            </w:r>
            <w:r>
              <w:rPr>
                <w:rFonts w:hint="eastAsia"/>
                <w:lang w:eastAsia="zh-CN"/>
              </w:rPr>
              <w:t>、</w:t>
            </w:r>
            <w:r>
              <w:rPr>
                <w:rFonts w:hint="eastAsia"/>
              </w:rPr>
              <w:t>无线网络测试仪</w:t>
            </w:r>
            <w:r>
              <w:rPr>
                <w:rFonts w:hint="eastAsia"/>
                <w:lang w:eastAsia="zh-CN"/>
              </w:rPr>
              <w:t>、</w:t>
            </w:r>
            <w:r>
              <w:rPr>
                <w:rFonts w:hint="eastAsia"/>
              </w:rPr>
              <w:t>线标机</w:t>
            </w:r>
            <w:r>
              <w:rPr>
                <w:rFonts w:hint="eastAsia"/>
                <w:lang w:eastAsia="zh-CN"/>
              </w:rPr>
              <w:t>、</w:t>
            </w:r>
            <w:r>
              <w:rPr>
                <w:rFonts w:hint="eastAsia"/>
              </w:rPr>
              <w:t>防爆对讲机</w:t>
            </w:r>
            <w:r>
              <w:rPr>
                <w:rFonts w:hint="eastAsia"/>
                <w:lang w:eastAsia="zh-CN"/>
              </w:rPr>
              <w:t>、</w:t>
            </w:r>
            <w:r>
              <w:rPr>
                <w:rFonts w:hint="eastAsia"/>
              </w:rPr>
              <w:t>防爆拍照设备</w:t>
            </w:r>
            <w:r>
              <w:rPr>
                <w:rFonts w:hint="eastAsia"/>
                <w:lang w:eastAsia="zh-CN"/>
              </w:rPr>
              <w:t>、</w:t>
            </w:r>
            <w:r>
              <w:rPr>
                <w:rFonts w:hint="eastAsia"/>
              </w:rPr>
              <w:t>万用表</w:t>
            </w:r>
            <w:r>
              <w:rPr>
                <w:rFonts w:hint="eastAsia"/>
                <w:lang w:val="en-US" w:eastAsia="zh-CN"/>
              </w:rPr>
              <w:t>等</w:t>
            </w:r>
            <w:r>
              <w:rPr>
                <w:rFonts w:hint="eastAsia"/>
              </w:rPr>
              <w:t>等；上述</w:t>
            </w:r>
            <w:r>
              <w:rPr>
                <w:rFonts w:hint="eastAsia"/>
                <w:lang w:val="en-US" w:eastAsia="zh-CN"/>
              </w:rPr>
              <w:t>设备</w:t>
            </w:r>
            <w:r>
              <w:rPr>
                <w:rFonts w:hint="eastAsia"/>
              </w:rPr>
              <w:t>管理基本符合。</w:t>
            </w:r>
          </w:p>
          <w:p>
            <w:pPr>
              <w:spacing w:line="360" w:lineRule="auto"/>
              <w:ind w:firstLine="420" w:firstLineChars="200"/>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工程</w:t>
            </w:r>
            <w:r>
              <w:rPr>
                <w:rFonts w:hint="eastAsia" w:ascii="Times New Roman" w:hAnsi="Times New Roman" w:eastAsia="宋体" w:cs="Times New Roman"/>
                <w:szCs w:val="22"/>
              </w:rPr>
              <w:t>部将设备的日常维护保养落实到具体的操作者</w:t>
            </w:r>
            <w:r>
              <w:rPr>
                <w:rFonts w:hint="eastAsia" w:ascii="Times New Roman" w:hAnsi="Times New Roman" w:eastAsia="宋体" w:cs="Times New Roman"/>
                <w:szCs w:val="22"/>
                <w:lang w:val="en-US" w:eastAsia="zh-CN"/>
              </w:rPr>
              <w:t>，查看的接地电阻测试仪的“维护保养记录”（202</w:t>
            </w:r>
            <w:r>
              <w:rPr>
                <w:rFonts w:hint="eastAsia" w:cs="Times New Roman"/>
                <w:szCs w:val="22"/>
                <w:lang w:val="en-US" w:eastAsia="zh-CN"/>
              </w:rPr>
              <w:t>1</w:t>
            </w:r>
            <w:r>
              <w:rPr>
                <w:rFonts w:hint="eastAsia" w:ascii="Times New Roman" w:hAnsi="Times New Roman" w:eastAsia="宋体" w:cs="Times New Roman"/>
                <w:szCs w:val="22"/>
                <w:lang w:val="en-US" w:eastAsia="zh-CN"/>
              </w:rPr>
              <w:t>.9.3、202</w:t>
            </w:r>
            <w:r>
              <w:rPr>
                <w:rFonts w:hint="eastAsia" w:cs="Times New Roman"/>
                <w:szCs w:val="22"/>
                <w:lang w:val="en-US" w:eastAsia="zh-CN"/>
              </w:rPr>
              <w:t>1</w:t>
            </w:r>
            <w:r>
              <w:rPr>
                <w:rFonts w:hint="eastAsia" w:ascii="Times New Roman" w:hAnsi="Times New Roman" w:eastAsia="宋体" w:cs="Times New Roman"/>
                <w:szCs w:val="22"/>
                <w:lang w:val="en-US" w:eastAsia="zh-CN"/>
              </w:rPr>
              <w:t>.12.2），以上记录均填写完整，清晰，审批签字齐全，设备日常保养符合策划要求。</w:t>
            </w:r>
          </w:p>
          <w:p>
            <w:pPr>
              <w:spacing w:line="360" w:lineRule="auto"/>
              <w:ind w:firstLine="420" w:firstLineChars="200"/>
              <w:rPr>
                <w:rFonts w:hint="eastAsia" w:ascii="Times New Roman" w:hAnsi="Times New Roman" w:eastAsia="宋体" w:cs="Times New Roman"/>
                <w:szCs w:val="22"/>
              </w:rPr>
            </w:pPr>
            <w:r>
              <w:rPr>
                <w:rFonts w:hint="eastAsia" w:ascii="Times New Roman" w:hAnsi="Times New Roman" w:eastAsia="宋体" w:cs="Times New Roman"/>
                <w:szCs w:val="22"/>
              </w:rPr>
              <w:t>部门对基础设施的管理符合规定要求。</w:t>
            </w:r>
          </w:p>
          <w:p>
            <w:pPr>
              <w:spacing w:line="360" w:lineRule="auto"/>
              <w:ind w:firstLine="420" w:firstLineChars="200"/>
              <w:rPr>
                <w:rFonts w:hint="eastAsia"/>
              </w:rPr>
            </w:pPr>
            <w:r>
              <w:rPr>
                <w:rFonts w:hint="eastAsia"/>
              </w:rPr>
              <w:t>现场查看：公司</w:t>
            </w:r>
            <w:r>
              <w:rPr>
                <w:rFonts w:hint="eastAsia"/>
                <w:lang w:val="en-US" w:eastAsia="zh-CN"/>
              </w:rPr>
              <w:t>管理</w:t>
            </w:r>
            <w:r>
              <w:rPr>
                <w:rFonts w:hint="eastAsia"/>
              </w:rPr>
              <w:t>手册7.1.4章节，规定了现场过程运行环境的控制要求。</w:t>
            </w:r>
          </w:p>
          <w:p>
            <w:pPr>
              <w:spacing w:line="360" w:lineRule="auto"/>
              <w:ind w:firstLine="420" w:firstLineChars="200"/>
              <w:rPr>
                <w:rFonts w:hint="eastAsia"/>
              </w:rPr>
            </w:pPr>
            <w:r>
              <w:rPr>
                <w:rFonts w:hint="eastAsia"/>
                <w:lang w:val="en-US" w:eastAsia="zh-CN"/>
              </w:rPr>
              <w:t>建筑机电安装工程、电子与智能化工程、防雷工程的施工、通信工程施工、仪器仪表，电子产品（建筑智能化系统工程产品）、机电产品（机电设备安装工程产品）的销售</w:t>
            </w:r>
            <w:r>
              <w:rPr>
                <w:rFonts w:hint="eastAsia"/>
              </w:rPr>
              <w:t>的现场，无温度/湿度/洁净度等特殊环境控制要求，查看的</w:t>
            </w:r>
            <w:r>
              <w:rPr>
                <w:rFonts w:hint="eastAsia"/>
                <w:lang w:val="en-US" w:eastAsia="zh-CN"/>
              </w:rPr>
              <w:t>施工现场</w:t>
            </w:r>
            <w:r>
              <w:rPr>
                <w:rFonts w:hint="eastAsia"/>
              </w:rPr>
              <w:t>，环境整洁，通道宽畅，采光良好，作业区域划分清晰，符合规定要求。</w:t>
            </w:r>
          </w:p>
          <w:p>
            <w:pPr>
              <w:spacing w:line="360" w:lineRule="auto"/>
              <w:ind w:firstLine="420" w:firstLineChars="200"/>
              <w:rPr>
                <w:rFonts w:hint="eastAsia"/>
                <w:lang w:val="en-US" w:eastAsia="zh-CN"/>
              </w:rPr>
            </w:pPr>
            <w:r>
              <w:rPr>
                <w:rFonts w:hint="eastAsia"/>
              </w:rPr>
              <w:t>监视测量设备</w:t>
            </w:r>
            <w:r>
              <w:rPr>
                <w:rFonts w:hint="eastAsia"/>
                <w:lang w:val="en-US" w:eastAsia="zh-CN"/>
              </w:rPr>
              <w:t>主要有智能过程检验仪、数字多用表、接地电阻测试仪、兆欧表、网线测试仪等，</w:t>
            </w:r>
            <w:r>
              <w:rPr>
                <w:rFonts w:hint="eastAsia"/>
              </w:rPr>
              <w:t>询问计量器具管理情况，目前计量器具配备基本充分，日常由操作人员进行使用</w:t>
            </w:r>
            <w:r>
              <w:rPr>
                <w:rFonts w:hint="eastAsia"/>
                <w:lang w:eastAsia="zh-CN"/>
              </w:rPr>
              <w:t>。</w:t>
            </w:r>
          </w:p>
          <w:p>
            <w:pPr>
              <w:spacing w:line="360" w:lineRule="auto"/>
              <w:ind w:firstLine="460" w:firstLineChars="200"/>
              <w:rPr>
                <w:rFonts w:hint="eastAsia" w:asciiTheme="minorEastAsia" w:hAnsiTheme="minorEastAsia" w:eastAsiaTheme="minorEastAsia" w:cstheme="minorEastAsia"/>
                <w:bCs/>
                <w:spacing w:val="10"/>
                <w:kern w:val="2"/>
                <w:sz w:val="21"/>
                <w:szCs w:val="21"/>
                <w:lang w:val="en-US" w:eastAsia="zh-CN" w:bidi="ar-SA"/>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07" w:type="dxa"/>
            <w:vAlign w:val="top"/>
          </w:tcPr>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施工策划</w:t>
            </w:r>
          </w:p>
        </w:tc>
        <w:tc>
          <w:tcPr>
            <w:tcW w:w="1313" w:type="dxa"/>
            <w:vAlign w:val="top"/>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Q</w:t>
            </w:r>
            <w:r>
              <w:rPr>
                <w:rFonts w:hint="eastAsia" w:asciiTheme="minorEastAsia" w:hAnsiTheme="minorEastAsia" w:eastAsiaTheme="minorEastAsia" w:cstheme="minorEastAsia"/>
                <w:color w:val="auto"/>
                <w:sz w:val="21"/>
                <w:szCs w:val="21"/>
              </w:rPr>
              <w:t>8.1</w:t>
            </w:r>
          </w:p>
          <w:p>
            <w:pPr>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J</w:t>
            </w:r>
            <w:r>
              <w:rPr>
                <w:rFonts w:hint="eastAsia" w:asciiTheme="minorEastAsia" w:hAnsiTheme="minorEastAsia" w:eastAsiaTheme="minorEastAsia" w:cstheme="minorEastAsia"/>
                <w:color w:val="auto"/>
                <w:sz w:val="21"/>
                <w:szCs w:val="21"/>
              </w:rPr>
              <w:t>10.1.1</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10.2</w:t>
            </w:r>
          </w:p>
        </w:tc>
        <w:tc>
          <w:tcPr>
            <w:tcW w:w="10004" w:type="dxa"/>
            <w:vAlign w:val="top"/>
          </w:tcPr>
          <w:p>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建筑机电安装工程、电子与智能化工程、防雷工程的施工、通信工程施工</w:t>
            </w:r>
            <w:r>
              <w:rPr>
                <w:rFonts w:hint="eastAsia" w:ascii="宋体" w:hAnsi="宋体" w:eastAsia="宋体" w:cs="宋体"/>
                <w:color w:val="auto"/>
                <w:szCs w:val="21"/>
              </w:rPr>
              <w:t>实现的策划主要由</w:t>
            </w:r>
            <w:r>
              <w:rPr>
                <w:rFonts w:hint="eastAsia" w:ascii="宋体" w:hAnsi="宋体" w:cs="宋体"/>
                <w:color w:val="auto"/>
                <w:szCs w:val="21"/>
                <w:lang w:eastAsia="zh-CN"/>
              </w:rPr>
              <w:t>市场部</w:t>
            </w:r>
            <w:r>
              <w:rPr>
                <w:rFonts w:hint="eastAsia" w:ascii="宋体" w:hAnsi="宋体" w:eastAsia="宋体" w:cs="宋体"/>
                <w:color w:val="auto"/>
                <w:szCs w:val="21"/>
              </w:rPr>
              <w:t>负责人完成，过程策划包含了实现产品所需达到的质量目标和要求，公司主要依据</w:t>
            </w:r>
            <w:r>
              <w:rPr>
                <w:rFonts w:hint="eastAsia" w:ascii="宋体" w:hAnsi="宋体" w:eastAsia="宋体" w:cs="宋体"/>
                <w:color w:val="auto"/>
                <w:szCs w:val="21"/>
                <w:lang w:val="en-US" w:eastAsia="zh-CN"/>
              </w:rPr>
              <w:t>国家标准</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客户要求</w:t>
            </w:r>
            <w:r>
              <w:rPr>
                <w:rFonts w:hint="eastAsia" w:ascii="宋体" w:hAnsi="宋体" w:eastAsia="宋体" w:cs="宋体"/>
                <w:color w:val="auto"/>
                <w:szCs w:val="21"/>
                <w:lang w:eastAsia="zh-CN"/>
              </w:rPr>
              <w:t>，GB 50194-2014建设工程施工现场供用电安全规范、JGJ 33-2012建筑机械使用安全技术规程、JGI 46-2005施工现场临时用电安全技术规范、GB50150-2016电气装置安装工程电气设备交接试验标准、GB50172-2012电气装置安装工程 蓄电池施工及验收规范、GB50150-2016电气装置安装工程 电气设备交接试验标准、GB50254-2014电气装置安装工程低压电器施工及验收规范、JGJ 146-2013建设工程施工现场环境与卫生标准动火作业安全管理规范、SY5984-2014防静电推荐做法、SY/T6340-2010石油工程建设施工安全规定</w:t>
            </w:r>
            <w:r>
              <w:rPr>
                <w:rFonts w:hint="eastAsia" w:ascii="宋体" w:hAnsi="宋体" w:eastAsia="宋体" w:cs="宋体"/>
                <w:color w:val="auto"/>
                <w:szCs w:val="21"/>
              </w:rPr>
              <w:t>，编制了相应的过程文件：</w:t>
            </w:r>
          </w:p>
          <w:p>
            <w:pPr>
              <w:snapToGrid w:val="0"/>
              <w:spacing w:line="360" w:lineRule="auto"/>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编制了施工流程：</w:t>
            </w:r>
            <w:r>
              <w:rPr>
                <w:rFonts w:hint="eastAsia"/>
                <w:b w:val="0"/>
                <w:bCs/>
                <w:sz w:val="20"/>
                <w:szCs w:val="22"/>
              </w:rPr>
              <w:t>开工报告</w:t>
            </w:r>
            <w:r>
              <w:rPr>
                <w:rFonts w:hint="eastAsia"/>
                <w:b w:val="0"/>
                <w:bCs/>
                <w:sz w:val="20"/>
                <w:szCs w:val="22"/>
                <w:lang w:eastAsia="zh-CN"/>
              </w:rPr>
              <w:t>—</w:t>
            </w:r>
            <w:r>
              <w:rPr>
                <w:rFonts w:hint="eastAsia"/>
                <w:b w:val="0"/>
                <w:bCs/>
                <w:sz w:val="20"/>
                <w:szCs w:val="22"/>
                <w:lang w:val="en-US" w:eastAsia="zh-CN"/>
              </w:rPr>
              <w:t>材料入场</w:t>
            </w:r>
            <w:r>
              <w:rPr>
                <w:rFonts w:hint="eastAsia"/>
                <w:b w:val="0"/>
                <w:bCs/>
                <w:sz w:val="20"/>
                <w:szCs w:val="22"/>
                <w:lang w:eastAsia="zh-CN"/>
              </w:rPr>
              <w:t>—</w:t>
            </w:r>
            <w:r>
              <w:rPr>
                <w:rFonts w:hint="eastAsia"/>
                <w:b w:val="0"/>
                <w:bCs/>
                <w:sz w:val="20"/>
                <w:szCs w:val="22"/>
              </w:rPr>
              <w:t>敷缆</w:t>
            </w:r>
            <w:r>
              <w:rPr>
                <w:rFonts w:hint="eastAsia"/>
                <w:b w:val="0"/>
                <w:bCs/>
                <w:sz w:val="20"/>
                <w:szCs w:val="22"/>
                <w:lang w:eastAsia="zh-CN"/>
              </w:rPr>
              <w:t>、</w:t>
            </w:r>
            <w:r>
              <w:rPr>
                <w:rFonts w:hint="eastAsia"/>
                <w:b w:val="0"/>
                <w:bCs/>
                <w:sz w:val="20"/>
                <w:szCs w:val="22"/>
                <w:lang w:val="en-US" w:eastAsia="zh-CN"/>
              </w:rPr>
              <w:t>安装</w:t>
            </w:r>
            <w:r>
              <w:rPr>
                <w:rFonts w:hint="eastAsia"/>
                <w:b w:val="0"/>
                <w:bCs/>
                <w:sz w:val="20"/>
                <w:szCs w:val="22"/>
                <w:lang w:eastAsia="zh-CN"/>
              </w:rPr>
              <w:t>—</w:t>
            </w:r>
            <w:r>
              <w:rPr>
                <w:rFonts w:hint="eastAsia"/>
                <w:b w:val="0"/>
                <w:bCs/>
                <w:sz w:val="20"/>
                <w:szCs w:val="22"/>
              </w:rPr>
              <w:t>试验、检验</w:t>
            </w:r>
            <w:r>
              <w:rPr>
                <w:rFonts w:hint="eastAsia"/>
                <w:b w:val="0"/>
                <w:bCs/>
                <w:sz w:val="20"/>
                <w:szCs w:val="22"/>
                <w:lang w:eastAsia="zh-CN"/>
              </w:rPr>
              <w:t>—</w:t>
            </w:r>
            <w:r>
              <w:rPr>
                <w:rFonts w:hint="eastAsia"/>
                <w:b w:val="0"/>
                <w:bCs/>
                <w:sz w:val="20"/>
                <w:szCs w:val="22"/>
              </w:rPr>
              <w:t>交付</w:t>
            </w:r>
            <w:r>
              <w:rPr>
                <w:rFonts w:hint="eastAsia" w:ascii="宋体" w:hAnsi="宋体" w:cs="宋体"/>
                <w:color w:val="auto"/>
                <w:szCs w:val="21"/>
                <w:lang w:val="en-US" w:eastAsia="zh-CN"/>
              </w:rPr>
              <w:t>。</w:t>
            </w:r>
          </w:p>
          <w:p>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针对</w:t>
            </w:r>
            <w:r>
              <w:rPr>
                <w:rFonts w:hint="eastAsia" w:ascii="宋体" w:hAnsi="宋体" w:eastAsia="宋体" w:cs="宋体"/>
                <w:color w:val="auto"/>
                <w:szCs w:val="21"/>
                <w:lang w:val="en-US" w:eastAsia="zh-CN"/>
              </w:rPr>
              <w:t>销售服务</w:t>
            </w:r>
            <w:r>
              <w:rPr>
                <w:rFonts w:hint="eastAsia" w:ascii="宋体" w:hAnsi="宋体" w:eastAsia="宋体" w:cs="宋体"/>
                <w:color w:val="auto"/>
                <w:szCs w:val="21"/>
              </w:rPr>
              <w:t>过程制定了作业指导书</w:t>
            </w:r>
            <w:r>
              <w:rPr>
                <w:rFonts w:hint="eastAsia" w:ascii="宋体" w:hAnsi="宋体" w:eastAsia="宋体" w:cs="宋体"/>
                <w:color w:val="auto"/>
                <w:szCs w:val="21"/>
                <w:lang w:eastAsia="zh-CN"/>
              </w:rPr>
              <w:t>：《</w:t>
            </w:r>
            <w:r>
              <w:rPr>
                <w:rFonts w:hint="eastAsia" w:ascii="宋体" w:hAnsi="宋体" w:cs="宋体"/>
                <w:color w:val="auto"/>
                <w:szCs w:val="21"/>
                <w:lang w:val="en-US" w:eastAsia="zh-CN"/>
              </w:rPr>
              <w:t>配套建设方案与技术措施</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等。</w:t>
            </w:r>
            <w:r>
              <w:rPr>
                <w:rFonts w:hint="eastAsia" w:ascii="宋体" w:hAnsi="宋体" w:eastAsia="宋体" w:cs="宋体"/>
                <w:color w:val="auto"/>
                <w:szCs w:val="21"/>
              </w:rPr>
              <w:t>规定了</w:t>
            </w:r>
            <w:r>
              <w:rPr>
                <w:rFonts w:hint="eastAsia" w:ascii="宋体" w:hAnsi="宋体" w:eastAsia="宋体" w:cs="宋体"/>
                <w:color w:val="auto"/>
                <w:szCs w:val="21"/>
                <w:lang w:val="en-US" w:eastAsia="zh-CN"/>
              </w:rPr>
              <w:t>施工</w:t>
            </w:r>
            <w:r>
              <w:rPr>
                <w:rFonts w:hint="eastAsia" w:ascii="宋体" w:hAnsi="宋体" w:eastAsia="宋体" w:cs="宋体"/>
                <w:color w:val="auto"/>
                <w:szCs w:val="21"/>
              </w:rPr>
              <w:t>的验收准则；</w:t>
            </w:r>
          </w:p>
          <w:p>
            <w:pPr>
              <w:snapToGrid w:val="0"/>
              <w:spacing w:line="360" w:lineRule="auto"/>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对建筑机电安装工程、电子与智能化工程、防雷工程的施工、通信工程施工服务设置了</w:t>
            </w:r>
            <w:r>
              <w:rPr>
                <w:rFonts w:hint="eastAsia" w:ascii="宋体" w:hAnsi="宋体"/>
                <w:color w:val="auto"/>
                <w:sz w:val="21"/>
                <w:szCs w:val="21"/>
                <w:lang w:val="en-US" w:eastAsia="zh-CN"/>
              </w:rPr>
              <w:t>检验批、分项、分部过程检验记录</w:t>
            </w:r>
            <w:r>
              <w:rPr>
                <w:rFonts w:hint="eastAsia" w:ascii="宋体" w:hAnsi="宋体" w:eastAsia="宋体" w:cs="宋体"/>
                <w:color w:val="auto"/>
                <w:szCs w:val="21"/>
                <w:lang w:val="en-US" w:eastAsia="zh-CN"/>
              </w:rPr>
              <w:t>等；</w:t>
            </w:r>
          </w:p>
          <w:p>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资源的提供（包括人力、物力、办公设备设施、通讯工具、</w:t>
            </w:r>
            <w:r>
              <w:rPr>
                <w:rFonts w:hint="eastAsia" w:ascii="宋体" w:hAnsi="宋体" w:eastAsia="宋体" w:cs="宋体"/>
                <w:color w:val="auto"/>
                <w:szCs w:val="21"/>
                <w:lang w:val="en-US" w:eastAsia="zh-CN"/>
              </w:rPr>
              <w:t>维护所需的设备实施</w:t>
            </w:r>
            <w:r>
              <w:rPr>
                <w:rFonts w:hint="eastAsia" w:ascii="宋体" w:hAnsi="宋体" w:eastAsia="宋体" w:cs="宋体"/>
                <w:color w:val="auto"/>
                <w:szCs w:val="21"/>
              </w:rPr>
              <w:t>等）。</w:t>
            </w:r>
          </w:p>
          <w:p>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策划的输出适合于组织的运行。</w:t>
            </w:r>
          </w:p>
          <w:p>
            <w:pPr>
              <w:rPr>
                <w:rFonts w:hint="eastAsia" w:asciiTheme="minorEastAsia" w:hAnsiTheme="minorEastAsia" w:eastAsiaTheme="minorEastAsia" w:cstheme="minorEastAsia"/>
                <w:bCs/>
                <w:spacing w:val="10"/>
                <w:kern w:val="2"/>
                <w:sz w:val="21"/>
                <w:szCs w:val="21"/>
                <w:lang w:val="en-US" w:eastAsia="zh-CN" w:bidi="ar-SA"/>
              </w:rPr>
            </w:pPr>
            <w:r>
              <w:rPr>
                <w:rFonts w:hint="eastAsia" w:ascii="宋体" w:hAnsi="宋体" w:eastAsia="宋体" w:cs="宋体"/>
                <w:color w:val="auto"/>
                <w:szCs w:val="21"/>
              </w:rPr>
              <w:t>对于非预期变更，及时进行潜在后果评审，并告知相关人员，目前未发生。经识别企业</w:t>
            </w:r>
            <w:r>
              <w:rPr>
                <w:rFonts w:hint="eastAsia" w:ascii="宋体" w:hAnsi="宋体" w:cs="宋体"/>
                <w:color w:val="auto"/>
                <w:szCs w:val="21"/>
                <w:lang w:val="en-US" w:eastAsia="zh-CN"/>
              </w:rPr>
              <w:t>暂无</w:t>
            </w:r>
            <w:r>
              <w:rPr>
                <w:rFonts w:hint="eastAsia" w:ascii="宋体" w:hAnsi="宋体" w:eastAsia="宋体" w:cs="宋体"/>
                <w:color w:val="auto"/>
                <w:szCs w:val="21"/>
              </w:rPr>
              <w:t>外包过程</w:t>
            </w:r>
            <w:r>
              <w:rPr>
                <w:rFonts w:hint="eastAsia" w:ascii="宋体" w:hAnsi="宋体" w:cs="宋体"/>
                <w:color w:val="auto"/>
                <w:szCs w:val="21"/>
                <w:lang w:eastAsia="zh-CN"/>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07" w:type="dxa"/>
            <w:vAlign w:val="center"/>
          </w:tcPr>
          <w:p>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设计和开发</w:t>
            </w:r>
          </w:p>
        </w:tc>
        <w:tc>
          <w:tcPr>
            <w:tcW w:w="1313" w:type="dxa"/>
            <w:vAlign w:val="center"/>
          </w:tcPr>
          <w:p>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Q8.3</w:t>
            </w:r>
          </w:p>
          <w:p>
            <w:pPr>
              <w:snapToGrid w:val="0"/>
              <w:spacing w:line="360" w:lineRule="auto"/>
              <w:rPr>
                <w:rFonts w:hint="eastAsia" w:ascii="宋体" w:hAnsi="宋体" w:eastAsia="宋体" w:cs="宋体"/>
                <w:color w:val="auto"/>
                <w:szCs w:val="21"/>
                <w:lang w:val="en-US" w:eastAsia="zh-CN"/>
              </w:rPr>
            </w:pPr>
            <w:r>
              <w:rPr>
                <w:rFonts w:hint="eastAsia" w:ascii="宋体" w:hAnsi="宋体" w:eastAsia="宋体" w:cs="宋体"/>
                <w:color w:val="auto"/>
                <w:szCs w:val="21"/>
              </w:rPr>
              <w:t>J:10.3</w:t>
            </w:r>
          </w:p>
        </w:tc>
        <w:tc>
          <w:tcPr>
            <w:tcW w:w="10004" w:type="dxa"/>
            <w:vAlign w:val="center"/>
          </w:tcPr>
          <w:p>
            <w:pPr>
              <w:snapToGrid w:val="0"/>
              <w:spacing w:line="360" w:lineRule="auto"/>
              <w:rPr>
                <w:rFonts w:hint="eastAsia" w:ascii="宋体" w:hAnsi="宋体" w:eastAsia="宋体" w:cs="宋体"/>
                <w:color w:val="auto"/>
                <w:szCs w:val="21"/>
                <w:lang w:val="en-US" w:eastAsia="zh-CN"/>
              </w:rPr>
            </w:pPr>
            <w:r>
              <w:rPr>
                <w:rFonts w:hint="eastAsia" w:ascii="宋体" w:hAnsi="宋体" w:eastAsia="宋体" w:cs="宋体"/>
                <w:color w:val="auto"/>
                <w:szCs w:val="21"/>
              </w:rPr>
              <w:t>项目部依据业主提供图纸进行施工，只进行施工过程策划Q8.1G10.1.1</w:t>
            </w:r>
            <w:r>
              <w:rPr>
                <w:rFonts w:hint="eastAsia" w:ascii="宋体" w:hAnsi="宋体" w:eastAsia="宋体" w:cs="宋体"/>
                <w:color w:val="auto"/>
                <w:szCs w:val="21"/>
                <w:lang w:eastAsia="zh-CN"/>
              </w:rPr>
              <w:t>、</w:t>
            </w:r>
            <w:r>
              <w:rPr>
                <w:rFonts w:hint="eastAsia" w:ascii="宋体" w:hAnsi="宋体" w:eastAsia="宋体" w:cs="宋体"/>
                <w:color w:val="auto"/>
                <w:szCs w:val="21"/>
              </w:rPr>
              <w:t xml:space="preserve">10.2条款已经描述。不适用条款是J10.3 ，不适用理由：工程施工按相关法律法规和建设单位要求执行，故该条款不适用。  </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07" w:type="dxa"/>
            <w:vAlign w:val="center"/>
          </w:tcPr>
          <w:p>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施工过程控制</w:t>
            </w:r>
          </w:p>
        </w:tc>
        <w:tc>
          <w:tcPr>
            <w:tcW w:w="1313" w:type="dxa"/>
            <w:vAlign w:val="center"/>
          </w:tcPr>
          <w:p>
            <w:pPr>
              <w:snapToGrid w:val="0"/>
              <w:spacing w:line="360" w:lineRule="auto"/>
              <w:rPr>
                <w:rFonts w:hint="eastAsia"/>
                <w:lang w:val="en-US" w:eastAsia="zh-CN"/>
              </w:rPr>
            </w:pPr>
            <w:r>
              <w:rPr>
                <w:rFonts w:hint="eastAsia"/>
                <w:lang w:val="en-US" w:eastAsia="zh-CN"/>
              </w:rPr>
              <w:t>Q8.5</w:t>
            </w:r>
          </w:p>
          <w:p>
            <w:pPr>
              <w:snapToGrid w:val="0"/>
              <w:spacing w:line="360" w:lineRule="auto"/>
              <w:rPr>
                <w:rFonts w:hint="eastAsia"/>
                <w:lang w:val="en-US" w:eastAsia="zh-CN"/>
              </w:rPr>
            </w:pPr>
            <w:r>
              <w:rPr>
                <w:rFonts w:hint="eastAsia"/>
                <w:lang w:val="en-US" w:eastAsia="zh-CN"/>
              </w:rPr>
              <w:t>J10.5</w:t>
            </w:r>
          </w:p>
          <w:p>
            <w:pPr>
              <w:pStyle w:val="3"/>
              <w:jc w:val="both"/>
              <w:rPr>
                <w:rFonts w:hint="eastAsia"/>
              </w:rPr>
            </w:pPr>
          </w:p>
        </w:tc>
        <w:tc>
          <w:tcPr>
            <w:tcW w:w="10004" w:type="dxa"/>
            <w:vAlign w:val="center"/>
          </w:tcPr>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lang w:val="en-US" w:eastAsia="zh-CN"/>
              </w:rPr>
              <w:t>建筑机电安装工程、电子与智能化工程、防雷工程的施工、通信工程施工</w:t>
            </w:r>
            <w:r>
              <w:rPr>
                <w:rFonts w:hint="eastAsia"/>
                <w:color w:val="auto"/>
                <w:sz w:val="21"/>
                <w:szCs w:val="21"/>
                <w:lang w:val="en-US" w:eastAsia="zh-CN"/>
              </w:rPr>
              <w:t>,</w:t>
            </w:r>
            <w:r>
              <w:rPr>
                <w:rFonts w:hint="eastAsia" w:ascii="宋体" w:hAnsi="宋体" w:cs="宋体"/>
                <w:color w:val="auto"/>
                <w:sz w:val="21"/>
                <w:szCs w:val="21"/>
              </w:rPr>
              <w:t>基本流程：</w:t>
            </w:r>
          </w:p>
          <w:p>
            <w:pPr>
              <w:spacing w:line="360" w:lineRule="auto"/>
              <w:ind w:left="420" w:leftChars="200"/>
              <w:rPr>
                <w:rFonts w:ascii="宋体" w:hAnsi="宋体" w:cs="宋体"/>
                <w:color w:val="auto"/>
                <w:sz w:val="21"/>
                <w:szCs w:val="21"/>
              </w:rPr>
            </w:pPr>
            <w:r>
              <w:rPr>
                <w:rFonts w:hint="eastAsia"/>
                <w:b w:val="0"/>
                <w:bCs/>
                <w:sz w:val="20"/>
                <w:szCs w:val="22"/>
              </w:rPr>
              <w:t>开工报告</w:t>
            </w:r>
            <w:r>
              <w:rPr>
                <w:rFonts w:hint="eastAsia"/>
                <w:b w:val="0"/>
                <w:bCs/>
                <w:sz w:val="20"/>
                <w:szCs w:val="22"/>
                <w:lang w:eastAsia="zh-CN"/>
              </w:rPr>
              <w:t>—</w:t>
            </w:r>
            <w:r>
              <w:rPr>
                <w:rFonts w:hint="eastAsia"/>
                <w:b w:val="0"/>
                <w:bCs/>
                <w:sz w:val="20"/>
                <w:szCs w:val="22"/>
                <w:lang w:val="en-US" w:eastAsia="zh-CN"/>
              </w:rPr>
              <w:t>材料入场</w:t>
            </w:r>
            <w:r>
              <w:rPr>
                <w:rFonts w:hint="eastAsia"/>
                <w:b w:val="0"/>
                <w:bCs/>
                <w:sz w:val="20"/>
                <w:szCs w:val="22"/>
                <w:lang w:eastAsia="zh-CN"/>
              </w:rPr>
              <w:t>—</w:t>
            </w:r>
            <w:r>
              <w:rPr>
                <w:rFonts w:hint="eastAsia"/>
                <w:b w:val="0"/>
                <w:bCs/>
                <w:sz w:val="20"/>
                <w:szCs w:val="22"/>
              </w:rPr>
              <w:t>敷缆</w:t>
            </w:r>
            <w:r>
              <w:rPr>
                <w:rFonts w:hint="eastAsia"/>
                <w:b w:val="0"/>
                <w:bCs/>
                <w:sz w:val="20"/>
                <w:szCs w:val="22"/>
                <w:lang w:eastAsia="zh-CN"/>
              </w:rPr>
              <w:t>、</w:t>
            </w:r>
            <w:r>
              <w:rPr>
                <w:rFonts w:hint="eastAsia"/>
                <w:b w:val="0"/>
                <w:bCs/>
                <w:sz w:val="20"/>
                <w:szCs w:val="22"/>
                <w:lang w:val="en-US" w:eastAsia="zh-CN"/>
              </w:rPr>
              <w:t>安装</w:t>
            </w:r>
            <w:r>
              <w:rPr>
                <w:rFonts w:hint="eastAsia"/>
                <w:b w:val="0"/>
                <w:bCs/>
                <w:sz w:val="20"/>
                <w:szCs w:val="22"/>
                <w:lang w:eastAsia="zh-CN"/>
              </w:rPr>
              <w:t>—</w:t>
            </w:r>
            <w:r>
              <w:rPr>
                <w:rFonts w:hint="eastAsia"/>
                <w:b w:val="0"/>
                <w:bCs/>
                <w:sz w:val="20"/>
                <w:szCs w:val="22"/>
              </w:rPr>
              <w:t>试验、检验</w:t>
            </w:r>
            <w:r>
              <w:rPr>
                <w:rFonts w:hint="eastAsia"/>
                <w:b w:val="0"/>
                <w:bCs/>
                <w:sz w:val="20"/>
                <w:szCs w:val="22"/>
                <w:lang w:eastAsia="zh-CN"/>
              </w:rPr>
              <w:t>—</w:t>
            </w:r>
            <w:r>
              <w:rPr>
                <w:rFonts w:hint="eastAsia"/>
                <w:b w:val="0"/>
                <w:bCs/>
                <w:sz w:val="20"/>
                <w:szCs w:val="22"/>
              </w:rPr>
              <w:t>交付</w:t>
            </w:r>
            <w:r>
              <w:rPr>
                <w:rFonts w:hint="eastAsia" w:ascii="宋体" w:hAnsi="宋体" w:eastAsia="宋体" w:cs="宋体"/>
                <w:color w:val="auto"/>
                <w:sz w:val="21"/>
                <w:szCs w:val="21"/>
                <w:lang w:val="en-US" w:eastAsia="zh-CN"/>
              </w:rPr>
              <w:t>。</w:t>
            </w:r>
          </w:p>
          <w:p>
            <w:pPr>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color w:val="auto"/>
                <w:sz w:val="21"/>
                <w:szCs w:val="21"/>
                <w:lang w:eastAsia="zh-CN"/>
              </w:rPr>
            </w:pPr>
            <w:r>
              <w:rPr>
                <w:rFonts w:hint="eastAsia" w:asciiTheme="minorEastAsia" w:hAnsiTheme="minorEastAsia" w:eastAsiaTheme="minorEastAsia" w:cstheme="minorEastAsia"/>
                <w:b/>
                <w:bCs/>
                <w:color w:val="auto"/>
                <w:sz w:val="21"/>
                <w:szCs w:val="21"/>
                <w:lang w:val="en-US" w:eastAsia="zh-CN"/>
              </w:rPr>
              <w:t>a</w:t>
            </w:r>
            <w:r>
              <w:rPr>
                <w:rFonts w:hint="eastAsia" w:asciiTheme="minorEastAsia" w:hAnsiTheme="minorEastAsia" w:eastAsiaTheme="minorEastAsia" w:cstheme="minorEastAsia"/>
                <w:b/>
                <w:bCs/>
                <w:color w:val="auto"/>
                <w:sz w:val="21"/>
                <w:szCs w:val="21"/>
              </w:rPr>
              <w:t>)、</w:t>
            </w:r>
            <w:r>
              <w:rPr>
                <w:rFonts w:hint="eastAsia" w:ascii="宋体" w:hAnsi="宋体" w:cs="宋体"/>
                <w:color w:val="auto"/>
                <w:sz w:val="21"/>
                <w:szCs w:val="21"/>
                <w:lang w:eastAsia="zh-CN"/>
              </w:rPr>
              <w:t>工程部</w:t>
            </w:r>
            <w:r>
              <w:rPr>
                <w:rFonts w:hint="eastAsia" w:ascii="宋体" w:hAnsi="宋体" w:cs="宋体"/>
                <w:color w:val="auto"/>
                <w:sz w:val="21"/>
                <w:szCs w:val="21"/>
              </w:rPr>
              <w:t>按照策划的</w:t>
            </w:r>
            <w:r>
              <w:rPr>
                <w:rFonts w:hint="eastAsia" w:ascii="宋体" w:hAnsi="宋体" w:eastAsia="宋体" w:cs="宋体"/>
                <w:color w:val="auto"/>
                <w:szCs w:val="21"/>
                <w:lang w:eastAsia="zh-CN"/>
              </w:rPr>
              <w:t>《</w:t>
            </w:r>
            <w:r>
              <w:rPr>
                <w:rFonts w:hint="eastAsia" w:ascii="宋体" w:hAnsi="宋体" w:cs="宋体"/>
                <w:color w:val="auto"/>
                <w:szCs w:val="21"/>
                <w:lang w:val="en-US" w:eastAsia="zh-CN"/>
              </w:rPr>
              <w:t>配套建设方案与技术措施</w:t>
            </w:r>
            <w:r>
              <w:rPr>
                <w:rFonts w:hint="eastAsia" w:ascii="宋体" w:hAnsi="宋体" w:eastAsia="宋体" w:cs="宋体"/>
                <w:color w:val="auto"/>
                <w:szCs w:val="21"/>
                <w:lang w:eastAsia="zh-CN"/>
              </w:rPr>
              <w:t>》</w:t>
            </w:r>
            <w:r>
              <w:rPr>
                <w:rFonts w:hint="eastAsia" w:ascii="宋体" w:hAnsi="宋体" w:cs="宋体"/>
                <w:color w:val="auto"/>
                <w:szCs w:val="21"/>
                <w:lang w:val="en-US" w:eastAsia="zh-CN"/>
              </w:rPr>
              <w:t>进行施工</w:t>
            </w:r>
            <w:r>
              <w:rPr>
                <w:rFonts w:hint="eastAsia" w:ascii="宋体" w:hAnsi="宋体" w:cs="宋体"/>
                <w:color w:val="auto"/>
                <w:sz w:val="21"/>
                <w:szCs w:val="21"/>
              </w:rPr>
              <w:t>。有相关手册、程序文件以及作业文件等</w:t>
            </w:r>
            <w:r>
              <w:rPr>
                <w:rFonts w:hint="eastAsia" w:ascii="宋体" w:hAnsi="宋体" w:cs="宋体"/>
                <w:color w:val="auto"/>
                <w:sz w:val="21"/>
                <w:szCs w:val="21"/>
                <w:lang w:eastAsia="zh-CN"/>
              </w:rPr>
              <w:t>。</w:t>
            </w:r>
          </w:p>
          <w:p>
            <w:pPr>
              <w:keepNext w:val="0"/>
              <w:keepLines w:val="0"/>
              <w:suppressLineNumbers w:val="0"/>
              <w:spacing w:before="0" w:beforeAutospacing="0" w:after="0" w:afterAutospacing="0" w:line="360" w:lineRule="auto"/>
              <w:ind w:left="0" w:right="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查看</w:t>
            </w:r>
            <w:r>
              <w:rPr>
                <w:rFonts w:hint="eastAsia" w:asciiTheme="minorEastAsia" w:hAnsiTheme="minorEastAsia" w:eastAsiaTheme="minorEastAsia" w:cstheme="minorEastAsia"/>
                <w:color w:val="auto"/>
                <w:sz w:val="21"/>
                <w:szCs w:val="21"/>
                <w:lang w:val="en-US" w:eastAsia="zh-CN"/>
              </w:rPr>
              <w:t>公司与客户中国石油天然气股份有限公司长庆油田分公司第十二采油厂签订的完工项目《2021年第十二采油厂数字化配套完善工程项目》、长庆油田分公司第十一采油厂签订的在建项目《第十一采油厂2021年产能建设油气生产物联网工程第二标段》合同</w:t>
            </w:r>
            <w:r>
              <w:rPr>
                <w:rFonts w:hint="eastAsia" w:asciiTheme="minorEastAsia" w:hAnsiTheme="minorEastAsia" w:eastAsiaTheme="minorEastAsia" w:cstheme="minorEastAsia"/>
                <w:color w:val="auto"/>
                <w:sz w:val="21"/>
                <w:szCs w:val="21"/>
              </w:rPr>
              <w:t>，规定了</w:t>
            </w:r>
            <w:r>
              <w:rPr>
                <w:rFonts w:hint="eastAsia" w:asciiTheme="minorEastAsia" w:hAnsiTheme="minorEastAsia" w:eastAsiaTheme="minorEastAsia" w:cstheme="minorEastAsia"/>
                <w:color w:val="auto"/>
                <w:sz w:val="21"/>
                <w:szCs w:val="21"/>
                <w:lang w:val="en-US" w:eastAsia="zh-CN"/>
              </w:rPr>
              <w:t>物联网需</w:t>
            </w:r>
            <w:r>
              <w:rPr>
                <w:rFonts w:hint="eastAsia" w:asciiTheme="minorEastAsia" w:hAnsiTheme="minorEastAsia" w:eastAsiaTheme="minorEastAsia" w:cstheme="minorEastAsia"/>
                <w:color w:val="auto"/>
                <w:sz w:val="21"/>
                <w:szCs w:val="21"/>
              </w:rPr>
              <w:t>完成的</w:t>
            </w:r>
            <w:r>
              <w:rPr>
                <w:rFonts w:hint="eastAsia" w:asciiTheme="minorEastAsia" w:hAnsiTheme="minorEastAsia" w:eastAsiaTheme="minorEastAsia" w:cstheme="minorEastAsia"/>
                <w:color w:val="auto"/>
                <w:sz w:val="21"/>
                <w:szCs w:val="21"/>
                <w:lang w:val="en-US" w:eastAsia="zh-CN"/>
              </w:rPr>
              <w:t>工作内容</w:t>
            </w:r>
            <w:r>
              <w:rPr>
                <w:rFonts w:hint="eastAsia" w:asciiTheme="minorEastAsia" w:hAnsiTheme="minorEastAsia" w:eastAsiaTheme="minorEastAsia" w:cstheme="minorEastAsia"/>
                <w:color w:val="auto"/>
                <w:sz w:val="21"/>
                <w:szCs w:val="21"/>
              </w:rPr>
              <w:t>。</w:t>
            </w:r>
          </w:p>
          <w:p>
            <w:pPr>
              <w:pStyle w:val="5"/>
              <w:rPr>
                <w:rFonts w:hint="eastAsia" w:asciiTheme="minorEastAsia" w:hAnsiTheme="minorEastAsia" w:eastAsiaTheme="minorEastAsia" w:cstheme="minorEastAsia"/>
                <w:color w:val="auto"/>
                <w:sz w:val="21"/>
                <w:szCs w:val="21"/>
              </w:rPr>
            </w:pPr>
            <w:r>
              <w:drawing>
                <wp:anchor distT="0" distB="0" distL="114300" distR="114300" simplePos="0" relativeHeight="251663360" behindDoc="0" locked="0" layoutInCell="1" allowOverlap="1">
                  <wp:simplePos x="0" y="0"/>
                  <wp:positionH relativeFrom="column">
                    <wp:posOffset>3543300</wp:posOffset>
                  </wp:positionH>
                  <wp:positionV relativeFrom="paragraph">
                    <wp:posOffset>29210</wp:posOffset>
                  </wp:positionV>
                  <wp:extent cx="1539240" cy="2099310"/>
                  <wp:effectExtent l="0" t="0" r="10160" b="8890"/>
                  <wp:wrapNone/>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6"/>
                          <a:stretch>
                            <a:fillRect/>
                          </a:stretch>
                        </pic:blipFill>
                        <pic:spPr>
                          <a:xfrm>
                            <a:off x="0" y="0"/>
                            <a:ext cx="1539240" cy="209931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222250</wp:posOffset>
                  </wp:positionH>
                  <wp:positionV relativeFrom="paragraph">
                    <wp:posOffset>35560</wp:posOffset>
                  </wp:positionV>
                  <wp:extent cx="1504950" cy="2088515"/>
                  <wp:effectExtent l="0" t="0" r="635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504950" cy="208851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1835150</wp:posOffset>
                  </wp:positionH>
                  <wp:positionV relativeFrom="paragraph">
                    <wp:posOffset>41910</wp:posOffset>
                  </wp:positionV>
                  <wp:extent cx="1499870" cy="2080895"/>
                  <wp:effectExtent l="0" t="0" r="11430" b="190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1499870" cy="2080895"/>
                          </a:xfrm>
                          <a:prstGeom prst="rect">
                            <a:avLst/>
                          </a:prstGeom>
                          <a:noFill/>
                          <a:ln>
                            <a:noFill/>
                          </a:ln>
                        </pic:spPr>
                      </pic:pic>
                    </a:graphicData>
                  </a:graphic>
                </wp:anchor>
              </w:drawing>
            </w:r>
          </w:p>
          <w:p>
            <w:pPr>
              <w:pStyle w:val="5"/>
              <w:rPr>
                <w:rFonts w:hint="eastAsia" w:asciiTheme="minorEastAsia" w:hAnsiTheme="minorEastAsia" w:eastAsiaTheme="minorEastAsia" w:cstheme="minorEastAsia"/>
                <w:color w:val="auto"/>
                <w:sz w:val="21"/>
                <w:szCs w:val="21"/>
              </w:rPr>
            </w:pPr>
          </w:p>
          <w:p>
            <w:pPr>
              <w:pStyle w:val="5"/>
              <w:rPr>
                <w:rFonts w:hint="eastAsia" w:asciiTheme="minorEastAsia" w:hAnsiTheme="minorEastAsia" w:eastAsiaTheme="minorEastAsia" w:cstheme="minorEastAsia"/>
                <w:color w:val="auto"/>
                <w:sz w:val="21"/>
                <w:szCs w:val="21"/>
              </w:rPr>
            </w:pPr>
          </w:p>
          <w:p>
            <w:pPr>
              <w:pStyle w:val="5"/>
              <w:rPr>
                <w:rFonts w:hint="eastAsia" w:asciiTheme="minorEastAsia" w:hAnsiTheme="minorEastAsia" w:eastAsiaTheme="minorEastAsia" w:cstheme="minorEastAsia"/>
                <w:color w:val="auto"/>
                <w:sz w:val="21"/>
                <w:szCs w:val="21"/>
              </w:rPr>
            </w:pPr>
          </w:p>
          <w:p>
            <w:pPr>
              <w:pStyle w:val="5"/>
              <w:rPr>
                <w:rFonts w:hint="eastAsia" w:asciiTheme="minorEastAsia" w:hAnsiTheme="minorEastAsia" w:eastAsiaTheme="minorEastAsia" w:cstheme="minorEastAsia"/>
                <w:color w:val="auto"/>
                <w:sz w:val="21"/>
                <w:szCs w:val="21"/>
              </w:rPr>
            </w:pPr>
          </w:p>
          <w:p>
            <w:pPr>
              <w:pStyle w:val="5"/>
              <w:rPr>
                <w:rFonts w:hint="eastAsia" w:asciiTheme="minorEastAsia" w:hAnsiTheme="minorEastAsia" w:eastAsiaTheme="minorEastAsia" w:cstheme="minorEastAsia"/>
                <w:color w:val="auto"/>
                <w:sz w:val="21"/>
                <w:szCs w:val="21"/>
              </w:rPr>
            </w:pPr>
          </w:p>
          <w:p>
            <w:pPr>
              <w:pStyle w:val="5"/>
              <w:rPr>
                <w:rFonts w:hint="eastAsia" w:asciiTheme="minorEastAsia" w:hAnsiTheme="minorEastAsia" w:eastAsiaTheme="minorEastAsia" w:cstheme="minorEastAsia"/>
                <w:color w:val="auto"/>
                <w:sz w:val="21"/>
                <w:szCs w:val="21"/>
              </w:rPr>
            </w:pPr>
          </w:p>
          <w:p>
            <w:pPr>
              <w:pStyle w:val="5"/>
              <w:rPr>
                <w:rFonts w:hint="eastAsia" w:asciiTheme="minorEastAsia" w:hAnsiTheme="minorEastAsia" w:eastAsiaTheme="minorEastAsia" w:cstheme="minorEastAsia"/>
                <w:color w:val="auto"/>
                <w:sz w:val="21"/>
                <w:szCs w:val="21"/>
              </w:rPr>
            </w:pPr>
          </w:p>
          <w:p>
            <w:pPr>
              <w:pStyle w:val="5"/>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合同详见附件。</w:t>
            </w:r>
          </w:p>
          <w:p>
            <w:pPr>
              <w:pStyle w:val="5"/>
              <w:rPr>
                <w:rFonts w:hint="default" w:ascii="宋体" w:hAnsi="宋体" w:eastAsia="宋体" w:cs="Times New Roman"/>
                <w:b w:val="0"/>
                <w:bCs w:val="0"/>
                <w:sz w:val="21"/>
                <w:szCs w:val="21"/>
                <w:highlight w:val="none"/>
                <w:lang w:val="en-US" w:eastAsia="zh-CN"/>
              </w:rPr>
            </w:pPr>
            <w:r>
              <w:rPr>
                <w:rFonts w:hint="eastAsia" w:ascii="宋体" w:hAnsi="宋体"/>
                <w:b w:val="0"/>
                <w:bCs w:val="0"/>
                <w:sz w:val="21"/>
                <w:szCs w:val="21"/>
                <w:highlight w:val="none"/>
                <w:lang w:val="en-US" w:eastAsia="zh-CN"/>
              </w:rPr>
              <w:t>查</w:t>
            </w:r>
            <w:r>
              <w:rPr>
                <w:rFonts w:hint="eastAsia" w:asciiTheme="minorEastAsia" w:hAnsiTheme="minorEastAsia" w:eastAsiaTheme="minorEastAsia" w:cstheme="minorEastAsia"/>
                <w:color w:val="auto"/>
                <w:sz w:val="21"/>
                <w:szCs w:val="21"/>
                <w:lang w:val="en-US" w:eastAsia="zh-CN"/>
              </w:rPr>
              <w:t>《2021年第十二采油厂数字化配套完善工程项目》,</w:t>
            </w:r>
            <w:r>
              <w:rPr>
                <w:rFonts w:hint="eastAsia" w:ascii="宋体" w:hAnsi="宋体"/>
                <w:b w:val="0"/>
                <w:bCs w:val="0"/>
                <w:sz w:val="21"/>
                <w:szCs w:val="21"/>
                <w:highlight w:val="none"/>
                <w:lang w:val="en-US" w:eastAsia="zh-CN"/>
              </w:rPr>
              <w:t>此</w:t>
            </w:r>
            <w:r>
              <w:rPr>
                <w:rFonts w:hint="eastAsia" w:ascii="宋体" w:hAnsi="宋体" w:eastAsia="宋体" w:cs="Times New Roman"/>
                <w:b w:val="0"/>
                <w:bCs w:val="0"/>
                <w:sz w:val="21"/>
                <w:szCs w:val="21"/>
                <w:highlight w:val="none"/>
              </w:rPr>
              <w:t>项目包括本项目主要对厂内转采井、拉油点、输油点及其他数字化配套施上，建设内容主要包括：网络传输系统配套施工，采集系统安装布线，SCADA系统配套升级，视频监控安装调试及其他数字化配套施工等。</w:t>
            </w:r>
            <w:r>
              <w:rPr>
                <w:rFonts w:hint="eastAsia" w:ascii="宋体" w:hAnsi="宋体" w:eastAsia="宋体" w:cs="Times New Roman"/>
                <w:b w:val="0"/>
                <w:bCs w:val="0"/>
                <w:sz w:val="21"/>
                <w:szCs w:val="21"/>
                <w:highlight w:val="none"/>
                <w:lang w:val="en-US" w:eastAsia="zh-CN"/>
              </w:rPr>
              <w:t>具体包含一下内容：</w:t>
            </w:r>
          </w:p>
          <w:p>
            <w:pPr>
              <w:pStyle w:val="5"/>
              <w:ind w:firstLine="420" w:firstLineChars="200"/>
              <w:rPr>
                <w:rFonts w:hint="eastAsia" w:ascii="宋体" w:hAnsi="宋体" w:eastAsia="宋体" w:cs="Times New Roman"/>
                <w:b w:val="0"/>
                <w:bCs w:val="0"/>
                <w:sz w:val="21"/>
                <w:szCs w:val="21"/>
                <w:highlight w:val="none"/>
              </w:rPr>
            </w:pPr>
            <w:r>
              <w:rPr>
                <w:rFonts w:hint="eastAsia" w:ascii="宋体" w:hAnsi="宋体" w:eastAsia="宋体" w:cs="Times New Roman"/>
                <w:b w:val="0"/>
                <w:bCs w:val="0"/>
                <w:sz w:val="21"/>
                <w:szCs w:val="21"/>
                <w:highlight w:val="none"/>
              </w:rPr>
              <w:t>（1）井场油气生产物联网建设包括：①井场网络安装调试；②井场浪涌保护器、防雷接地安装和测试；③井场视频监视系统（含灯光、喊话功能）、压变的校准、安装调试；④辅助设备的安装及调试。</w:t>
            </w:r>
          </w:p>
          <w:p>
            <w:pPr>
              <w:pStyle w:val="5"/>
              <w:ind w:firstLine="420" w:firstLineChars="200"/>
              <w:rPr>
                <w:rFonts w:hint="eastAsia" w:ascii="宋体" w:hAnsi="宋体" w:eastAsia="宋体" w:cs="Times New Roman"/>
                <w:b w:val="0"/>
                <w:bCs w:val="0"/>
                <w:sz w:val="21"/>
                <w:szCs w:val="21"/>
                <w:highlight w:val="none"/>
              </w:rPr>
            </w:pPr>
            <w:r>
              <w:rPr>
                <w:rFonts w:hint="eastAsia" w:ascii="宋体" w:hAnsi="宋体" w:eastAsia="宋体" w:cs="Times New Roman"/>
                <w:b w:val="0"/>
                <w:bCs w:val="0"/>
                <w:sz w:val="21"/>
                <w:szCs w:val="21"/>
                <w:highlight w:val="none"/>
              </w:rPr>
              <w:t>（2）油水井配套建设包括：①抽油机控制柜及控制部分接线调试；②油井功图、三相电参的采集，抽油机远程启停；③配水阀组协议转换箱与井场主RTU的接线、调试和注水井流量、压力采集，远程参数设置；④油水井SCADA系统配套升级。</w:t>
            </w:r>
          </w:p>
          <w:p>
            <w:pPr>
              <w:pStyle w:val="5"/>
              <w:ind w:firstLine="420" w:firstLineChars="200"/>
              <w:rPr>
                <w:rFonts w:hint="eastAsia" w:ascii="宋体" w:hAnsi="宋体" w:eastAsia="宋体" w:cs="Times New Roman"/>
                <w:b w:val="0"/>
                <w:bCs w:val="0"/>
                <w:sz w:val="21"/>
                <w:szCs w:val="21"/>
                <w:highlight w:val="none"/>
              </w:rPr>
            </w:pPr>
            <w:r>
              <w:rPr>
                <w:rFonts w:hint="eastAsia" w:ascii="宋体" w:hAnsi="宋体" w:eastAsia="宋体" w:cs="Times New Roman"/>
                <w:b w:val="0"/>
                <w:bCs w:val="0"/>
                <w:sz w:val="21"/>
                <w:szCs w:val="21"/>
                <w:highlight w:val="none"/>
              </w:rPr>
              <w:t>（3）水源井配套建设包括：①数字化控制箱的安装、调试；②水源井流量、压力的采集；③水源井远程及就地启停控制；④水源井SCADA系统的接入。</w:t>
            </w:r>
          </w:p>
          <w:p>
            <w:pPr>
              <w:pStyle w:val="5"/>
              <w:ind w:firstLine="420" w:firstLineChars="200"/>
              <w:rPr>
                <w:rFonts w:hint="eastAsia" w:ascii="宋体" w:hAnsi="宋体" w:eastAsia="宋体" w:cs="Times New Roman"/>
                <w:b w:val="0"/>
                <w:bCs w:val="0"/>
                <w:sz w:val="21"/>
                <w:szCs w:val="21"/>
                <w:highlight w:val="none"/>
              </w:rPr>
            </w:pPr>
            <w:r>
              <w:rPr>
                <w:rFonts w:hint="eastAsia" w:ascii="宋体" w:hAnsi="宋体" w:eastAsia="宋体" w:cs="Times New Roman"/>
                <w:b w:val="0"/>
                <w:bCs w:val="0"/>
                <w:sz w:val="21"/>
                <w:szCs w:val="21"/>
                <w:highlight w:val="none"/>
              </w:rPr>
              <w:t>（4）站点油气生产物联网建设包括：①站内各类检测变送器、执行机构和视频监视系统的校准、安装、调试、接地及配套的信号线缆敷设；②站点浪涌保护器、防雷接地安装和测试；③站内站控系统在设备间内的安装与系统联调、站内通信系统的安装、线缆敷设与调试；④站点的系统集成及SCADA系统配套完善；⑤注水泵房、输油泵房及危险区域的高清摄像机的挖沟、布线、安装和视频监控系统的安装、调试；⑥网络机柜至操作台及监控系统的布线和安装。</w:t>
            </w:r>
          </w:p>
          <w:p>
            <w:pPr>
              <w:pStyle w:val="5"/>
              <w:ind w:firstLine="420" w:firstLineChars="200"/>
              <w:rPr>
                <w:rFonts w:hint="eastAsia" w:ascii="宋体" w:hAnsi="宋体" w:eastAsia="宋体" w:cs="Times New Roman"/>
                <w:b w:val="0"/>
                <w:bCs w:val="0"/>
                <w:sz w:val="21"/>
                <w:szCs w:val="21"/>
                <w:highlight w:val="none"/>
              </w:rPr>
            </w:pPr>
            <w:r>
              <w:rPr>
                <w:rFonts w:hint="eastAsia" w:ascii="宋体" w:hAnsi="宋体" w:eastAsia="宋体" w:cs="Times New Roman"/>
                <w:b w:val="0"/>
                <w:bCs w:val="0"/>
                <w:sz w:val="21"/>
                <w:szCs w:val="21"/>
                <w:highlight w:val="none"/>
              </w:rPr>
              <w:t>（5）无人值守站配套建设改造包括：无人值守站改造有中心站、网络视频配套，电动阀等调试。</w:t>
            </w:r>
          </w:p>
          <w:p>
            <w:pPr>
              <w:pStyle w:val="5"/>
              <w:rPr>
                <w:rFonts w:hint="default" w:ascii="宋体" w:hAnsi="宋体" w:eastAsia="宋体" w:cs="Times New Roman"/>
                <w:b w:val="0"/>
                <w:bCs w:val="0"/>
                <w:sz w:val="21"/>
                <w:szCs w:val="21"/>
                <w:highlight w:val="none"/>
                <w:lang w:val="en-US" w:eastAsia="zh-CN"/>
              </w:rPr>
            </w:pPr>
            <w:r>
              <w:rPr>
                <w:rFonts w:hint="eastAsia" w:ascii="宋体" w:hAnsi="宋体" w:eastAsia="宋体" w:cs="Times New Roman"/>
                <w:b w:val="0"/>
                <w:bCs w:val="0"/>
                <w:sz w:val="21"/>
                <w:szCs w:val="21"/>
                <w:highlight w:val="none"/>
                <w:lang w:val="en-US" w:eastAsia="zh-CN"/>
              </w:rPr>
              <w:t>包含了本次申请的建筑机电安装工程、电子与智能化工程、防雷工程的施工、通信工程施工范围。</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lang w:val="en-US" w:eastAsia="zh-CN"/>
              </w:rPr>
              <w:t xml:space="preserve">    </w:t>
            </w:r>
            <w:r>
              <w:rPr>
                <w:rFonts w:hint="eastAsia" w:asciiTheme="minorEastAsia" w:hAnsiTheme="minorEastAsia" w:eastAsiaTheme="minorEastAsia" w:cstheme="minorEastAsia"/>
                <w:color w:val="auto"/>
                <w:sz w:val="21"/>
                <w:szCs w:val="21"/>
              </w:rPr>
              <w:t>公司编制的“</w:t>
            </w:r>
            <w:r>
              <w:rPr>
                <w:rFonts w:hint="eastAsia" w:ascii="宋体" w:hAnsi="宋体" w:cs="宋体"/>
                <w:color w:val="auto"/>
                <w:szCs w:val="21"/>
                <w:lang w:val="en-US" w:eastAsia="zh-CN"/>
              </w:rPr>
              <w:t>配套建设方案与技术措施</w:t>
            </w:r>
            <w:r>
              <w:rPr>
                <w:rFonts w:hint="eastAsia" w:asciiTheme="minorEastAsia" w:hAnsiTheme="minorEastAsia" w:eastAsiaTheme="minorEastAsia" w:cstheme="minorEastAsia"/>
                <w:color w:val="auto"/>
                <w:sz w:val="21"/>
                <w:szCs w:val="21"/>
              </w:rPr>
              <w:t>”，规定了监视和测量资源的管理要求。</w:t>
            </w:r>
            <w:r>
              <w:rPr>
                <w:rFonts w:hint="eastAsia" w:asciiTheme="minorEastAsia" w:hAnsiTheme="minorEastAsia" w:eastAsiaTheme="minorEastAsia" w:cstheme="minorEastAsia"/>
                <w:color w:val="auto"/>
                <w:sz w:val="21"/>
                <w:szCs w:val="21"/>
                <w:lang w:val="en-US" w:eastAsia="zh-CN"/>
              </w:rPr>
              <w:t>主要的监视测量设备为</w:t>
            </w:r>
            <w:r>
              <w:rPr>
                <w:rFonts w:hint="eastAsia"/>
                <w:lang w:val="en-US" w:eastAsia="zh-CN"/>
              </w:rPr>
              <w:t>智能过程检验仪、数字多用表、接地电阻测试仪、兆欧表、网线测试仪</w:t>
            </w:r>
            <w:r>
              <w:rPr>
                <w:rFonts w:hint="eastAsia" w:asciiTheme="minorEastAsia" w:hAnsiTheme="minorEastAsia" w:eastAsiaTheme="minorEastAsia" w:cstheme="minorEastAsia"/>
                <w:color w:val="auto"/>
                <w:sz w:val="21"/>
                <w:szCs w:val="21"/>
                <w:lang w:val="en-US" w:eastAsia="zh-CN"/>
              </w:rPr>
              <w:t>。</w:t>
            </w:r>
            <w:r>
              <w:rPr>
                <w:rFonts w:hint="eastAsia"/>
                <w:lang w:val="en-US" w:eastAsia="zh-CN"/>
              </w:rPr>
              <w:t>接地电阻测试仪在陕西省计量科学研究院进行了检定</w:t>
            </w:r>
            <w:r>
              <w:rPr>
                <w:rFonts w:hint="eastAsia" w:asciiTheme="minorEastAsia" w:hAnsiTheme="minorEastAsia" w:eastAsiaTheme="minorEastAsia" w:cstheme="minorEastAsia"/>
                <w:color w:val="auto"/>
                <w:sz w:val="21"/>
                <w:szCs w:val="21"/>
                <w:lang w:val="en-US" w:eastAsia="zh-CN"/>
              </w:rPr>
              <w:t>。确认</w:t>
            </w:r>
            <w:r>
              <w:rPr>
                <w:rFonts w:hint="eastAsia" w:asciiTheme="minorEastAsia" w:hAnsiTheme="minorEastAsia" w:eastAsiaTheme="minorEastAsia" w:cstheme="minorEastAsia"/>
                <w:color w:val="auto"/>
                <w:sz w:val="21"/>
                <w:szCs w:val="21"/>
              </w:rPr>
              <w:t>上述监视和测量设备</w:t>
            </w:r>
            <w:r>
              <w:rPr>
                <w:rFonts w:hint="eastAsia" w:asciiTheme="minorEastAsia" w:hAnsiTheme="minorEastAsia" w:eastAsiaTheme="minorEastAsia" w:cstheme="minorEastAsia"/>
                <w:color w:val="auto"/>
                <w:sz w:val="21"/>
                <w:szCs w:val="21"/>
                <w:lang w:val="en-US" w:eastAsia="zh-CN"/>
              </w:rPr>
              <w:t>能</w:t>
            </w:r>
            <w:r>
              <w:rPr>
                <w:rFonts w:hint="eastAsia" w:asciiTheme="minorEastAsia" w:hAnsiTheme="minorEastAsia" w:eastAsiaTheme="minorEastAsia" w:cstheme="minorEastAsia"/>
                <w:color w:val="auto"/>
                <w:sz w:val="21"/>
                <w:szCs w:val="21"/>
              </w:rPr>
              <w:t>满足产品测量需求。</w:t>
            </w:r>
          </w:p>
          <w:p>
            <w:pPr>
              <w:keepNext w:val="0"/>
              <w:keepLines w:val="0"/>
              <w:suppressLineNumbers w:val="0"/>
              <w:tabs>
                <w:tab w:val="left" w:pos="-52"/>
              </w:tabs>
              <w:spacing w:before="0" w:beforeAutospacing="0" w:after="0" w:afterAutospacing="0" w:line="360" w:lineRule="auto"/>
              <w:ind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 xml:space="preserve">   </w:t>
            </w:r>
            <w:r>
              <w:rPr>
                <w:rFonts w:hint="eastAsia" w:asciiTheme="minorEastAsia" w:hAnsiTheme="minorEastAsia" w:eastAsiaTheme="minorEastAsia" w:cstheme="minorEastAsia"/>
                <w:color w:val="auto"/>
                <w:sz w:val="21"/>
                <w:szCs w:val="21"/>
              </w:rPr>
              <w:t>“</w:t>
            </w:r>
            <w:r>
              <w:rPr>
                <w:rFonts w:hint="eastAsia" w:ascii="宋体" w:hAnsi="宋体" w:cs="宋体"/>
                <w:color w:val="auto"/>
                <w:szCs w:val="21"/>
                <w:lang w:val="en-US" w:eastAsia="zh-CN"/>
              </w:rPr>
              <w:t>配套建设方案与技术措施</w:t>
            </w:r>
            <w:r>
              <w:rPr>
                <w:rFonts w:hint="eastAsia" w:asciiTheme="minorEastAsia" w:hAnsiTheme="minorEastAsia" w:eastAsiaTheme="minorEastAsia" w:cstheme="minorEastAsia"/>
                <w:color w:val="auto"/>
                <w:sz w:val="21"/>
                <w:szCs w:val="21"/>
                <w:lang w:val="en-US" w:eastAsia="zh-CN"/>
              </w:rPr>
              <w:t>”中规定</w:t>
            </w:r>
            <w:r>
              <w:rPr>
                <w:rFonts w:hint="eastAsia" w:ascii="宋体" w:hAnsi="宋体" w:eastAsia="宋体" w:cs="宋体"/>
                <w:kern w:val="0"/>
                <w:sz w:val="21"/>
                <w:szCs w:val="21"/>
                <w:highlight w:val="none"/>
              </w:rPr>
              <w:t>对厂内转采井、拉油点、输油点及其他数字化配套施上，建设内容主要包括：网络传输系统配套施工，采集系统安装布线，SCADA系统配套升级，视频监控安装调试及其他数字化配套施工等</w:t>
            </w:r>
            <w:r>
              <w:rPr>
                <w:rFonts w:hint="eastAsia" w:asciiTheme="minorEastAsia" w:hAnsiTheme="minorEastAsia" w:eastAsiaTheme="minorEastAsia" w:cstheme="minorEastAsia"/>
                <w:b w:val="0"/>
                <w:bCs w:val="0"/>
                <w:color w:val="auto"/>
                <w:sz w:val="21"/>
                <w:szCs w:val="21"/>
                <w:lang w:val="en-US" w:eastAsia="zh-CN"/>
              </w:rPr>
              <w:t>。</w:t>
            </w: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1、查</w:t>
            </w:r>
            <w:r>
              <w:rPr>
                <w:rFonts w:hint="eastAsia" w:ascii="宋体" w:hAnsi="宋体" w:cs="宋体"/>
                <w:b/>
                <w:bCs/>
                <w:kern w:val="0"/>
                <w:sz w:val="21"/>
                <w:szCs w:val="21"/>
                <w:highlight w:val="none"/>
                <w:lang w:val="en-US" w:eastAsia="zh-CN"/>
              </w:rPr>
              <w:t>庄182井场</w:t>
            </w:r>
            <w:r>
              <w:rPr>
                <w:rFonts w:hint="eastAsia" w:ascii="宋体" w:hAnsi="宋体" w:eastAsia="宋体" w:cs="宋体"/>
                <w:b/>
                <w:bCs/>
                <w:kern w:val="0"/>
                <w:sz w:val="21"/>
                <w:szCs w:val="21"/>
                <w:highlight w:val="none"/>
                <w:lang w:val="en-US" w:eastAsia="zh-CN"/>
              </w:rPr>
              <w:t>杆塔安装工程：</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杆塔安装工程检验批质量验收记录表》：对1水泥杆的质量要求、2水泥杆安装的质量要求进行了质量验收，要求：水泥杆外观完好，无损伤；水泥杆底端与基础接触良好；水泥杆垂直度允许偏差每米不超过3mm，全高垂直度允许偏差不超过10mm；土坑每回填300mm夯实一次，夯实系数不低于0.90，且不得掺入杂草及冰雪；回填土高出自然地坪0.3m，以立杆为中心向四周放坡，半径为0.6m。</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eastAsia" w:asciiTheme="minorEastAsia" w:hAnsiTheme="minorEastAsia" w:eastAsiaTheme="minorEastAsia" w:cstheme="minorEastAsia"/>
                <w:b w:val="0"/>
                <w:bCs w:val="0"/>
                <w:color w:val="auto"/>
                <w:sz w:val="21"/>
                <w:szCs w:val="21"/>
                <w:lang w:val="en-US" w:eastAsia="zh-CN"/>
              </w:rPr>
              <w:drawing>
                <wp:anchor distT="0" distB="0" distL="114300" distR="114300" simplePos="0" relativeHeight="251666432" behindDoc="0" locked="0" layoutInCell="1" allowOverlap="1">
                  <wp:simplePos x="0" y="0"/>
                  <wp:positionH relativeFrom="column">
                    <wp:posOffset>3870325</wp:posOffset>
                  </wp:positionH>
                  <wp:positionV relativeFrom="paragraph">
                    <wp:posOffset>265430</wp:posOffset>
                  </wp:positionV>
                  <wp:extent cx="1661160" cy="2366010"/>
                  <wp:effectExtent l="0" t="0" r="2540" b="8890"/>
                  <wp:wrapNone/>
                  <wp:docPr id="8" name="图片 8" descr="微信图片_20220304230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3042306416"/>
                          <pic:cNvPicPr>
                            <a:picLocks noChangeAspect="1"/>
                          </pic:cNvPicPr>
                        </pic:nvPicPr>
                        <pic:blipFill>
                          <a:blip r:embed="rId9"/>
                          <a:stretch>
                            <a:fillRect/>
                          </a:stretch>
                        </pic:blipFill>
                        <pic:spPr>
                          <a:xfrm>
                            <a:off x="0" y="0"/>
                            <a:ext cx="1661160" cy="2366010"/>
                          </a:xfrm>
                          <a:prstGeom prst="rect">
                            <a:avLst/>
                          </a:prstGeom>
                        </pic:spPr>
                      </pic:pic>
                    </a:graphicData>
                  </a:graphic>
                </wp:anchor>
              </w:drawing>
            </w:r>
            <w:r>
              <w:rPr>
                <w:rFonts w:hint="default"/>
                <w:lang w:val="en-US" w:eastAsia="zh-CN"/>
              </w:rPr>
              <w:drawing>
                <wp:anchor distT="0" distB="0" distL="114300" distR="114300" simplePos="0" relativeHeight="251664384" behindDoc="0" locked="0" layoutInCell="1" allowOverlap="1">
                  <wp:simplePos x="0" y="0"/>
                  <wp:positionH relativeFrom="column">
                    <wp:posOffset>193675</wp:posOffset>
                  </wp:positionH>
                  <wp:positionV relativeFrom="paragraph">
                    <wp:posOffset>296545</wp:posOffset>
                  </wp:positionV>
                  <wp:extent cx="1628775" cy="2265045"/>
                  <wp:effectExtent l="0" t="0" r="9525" b="8255"/>
                  <wp:wrapNone/>
                  <wp:docPr id="6" name="图片 6" descr="微信图片_20220304230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3042306413"/>
                          <pic:cNvPicPr>
                            <a:picLocks noChangeAspect="1"/>
                          </pic:cNvPicPr>
                        </pic:nvPicPr>
                        <pic:blipFill>
                          <a:blip r:embed="rId10"/>
                          <a:stretch>
                            <a:fillRect/>
                          </a:stretch>
                        </pic:blipFill>
                        <pic:spPr>
                          <a:xfrm>
                            <a:off x="0" y="0"/>
                            <a:ext cx="1628775" cy="2265045"/>
                          </a:xfrm>
                          <a:prstGeom prst="rect">
                            <a:avLst/>
                          </a:prstGeom>
                        </pic:spPr>
                      </pic:pic>
                    </a:graphicData>
                  </a:graphic>
                </wp:anchor>
              </w:drawing>
            </w:r>
            <w:r>
              <w:rPr>
                <w:rFonts w:hint="eastAsia" w:ascii="宋体" w:hAnsi="宋体" w:eastAsia="宋体" w:cs="宋体"/>
                <w:kern w:val="0"/>
                <w:sz w:val="21"/>
                <w:szCs w:val="21"/>
                <w:highlight w:val="none"/>
                <w:lang w:val="en-US" w:eastAsia="zh-CN"/>
              </w:rPr>
              <w:t xml:space="preserve">   验收结果为符合要求；</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14</w:t>
            </w:r>
            <w:r>
              <w:rPr>
                <w:rFonts w:hint="eastAsia" w:ascii="宋体" w:hAnsi="宋体" w:eastAsia="宋体" w:cs="宋体"/>
                <w:kern w:val="0"/>
                <w:sz w:val="21"/>
                <w:szCs w:val="21"/>
                <w:highlight w:val="none"/>
                <w:lang w:val="en-US" w:eastAsia="zh-CN"/>
              </w:rPr>
              <w:t>日。</w:t>
            </w:r>
          </w:p>
          <w:p>
            <w:pPr>
              <w:pStyle w:val="15"/>
              <w:rPr>
                <w:rFonts w:hint="default"/>
                <w:lang w:val="en-US" w:eastAsia="zh-CN"/>
              </w:rPr>
            </w:pPr>
            <w:r>
              <w:rPr>
                <w:rFonts w:hint="eastAsia" w:asciiTheme="minorEastAsia" w:hAnsiTheme="minorEastAsia" w:eastAsiaTheme="minorEastAsia" w:cstheme="minorEastAsia"/>
                <w:b w:val="0"/>
                <w:bCs w:val="0"/>
                <w:color w:val="auto"/>
                <w:sz w:val="21"/>
                <w:szCs w:val="21"/>
                <w:lang w:val="en-US" w:eastAsia="zh-CN"/>
              </w:rPr>
              <w:drawing>
                <wp:anchor distT="0" distB="0" distL="114300" distR="114300" simplePos="0" relativeHeight="251665408" behindDoc="0" locked="0" layoutInCell="1" allowOverlap="1">
                  <wp:simplePos x="0" y="0"/>
                  <wp:positionH relativeFrom="column">
                    <wp:posOffset>1977390</wp:posOffset>
                  </wp:positionH>
                  <wp:positionV relativeFrom="paragraph">
                    <wp:posOffset>22225</wp:posOffset>
                  </wp:positionV>
                  <wp:extent cx="1589405" cy="2182495"/>
                  <wp:effectExtent l="0" t="0" r="10795" b="1905"/>
                  <wp:wrapNone/>
                  <wp:docPr id="7" name="图片 7" descr="微信图片_20220304230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3042306412"/>
                          <pic:cNvPicPr>
                            <a:picLocks noChangeAspect="1"/>
                          </pic:cNvPicPr>
                        </pic:nvPicPr>
                        <pic:blipFill>
                          <a:blip r:embed="rId11"/>
                          <a:srcRect b="2783"/>
                          <a:stretch>
                            <a:fillRect/>
                          </a:stretch>
                        </pic:blipFill>
                        <pic:spPr>
                          <a:xfrm>
                            <a:off x="0" y="0"/>
                            <a:ext cx="1589405" cy="2182495"/>
                          </a:xfrm>
                          <a:prstGeom prst="rect">
                            <a:avLst/>
                          </a:prstGeom>
                        </pic:spPr>
                      </pic:pic>
                    </a:graphicData>
                  </a:graphic>
                </wp:anchor>
              </w:drawing>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p>
          <w:p>
            <w:pPr>
              <w:pStyle w:val="6"/>
              <w:rPr>
                <w:rFonts w:hint="eastAsia" w:asciiTheme="minorEastAsia" w:hAnsiTheme="minorEastAsia" w:eastAsiaTheme="minorEastAsia" w:cstheme="minorEastAsia"/>
                <w:b w:val="0"/>
                <w:bCs w:val="0"/>
                <w:color w:val="auto"/>
                <w:sz w:val="21"/>
                <w:szCs w:val="21"/>
                <w:lang w:val="en-US" w:eastAsia="zh-CN"/>
              </w:rPr>
            </w:pPr>
          </w:p>
          <w:p>
            <w:pPr>
              <w:pStyle w:val="8"/>
              <w:rPr>
                <w:rFonts w:hint="eastAsia" w:asciiTheme="minorEastAsia" w:hAnsiTheme="minorEastAsia" w:eastAsiaTheme="minorEastAsia" w:cstheme="minorEastAsia"/>
                <w:b w:val="0"/>
                <w:bCs w:val="0"/>
                <w:color w:val="auto"/>
                <w:sz w:val="21"/>
                <w:szCs w:val="21"/>
                <w:lang w:val="en-US" w:eastAsia="zh-CN"/>
              </w:rPr>
            </w:pPr>
          </w:p>
          <w:p>
            <w:pPr>
              <w:rPr>
                <w:rFonts w:hint="eastAsia" w:asciiTheme="minorEastAsia" w:hAnsiTheme="minorEastAsia" w:eastAsiaTheme="minorEastAsia" w:cstheme="minorEastAsia"/>
                <w:b w:val="0"/>
                <w:bCs w:val="0"/>
                <w:color w:val="auto"/>
                <w:sz w:val="21"/>
                <w:szCs w:val="21"/>
                <w:lang w:val="en-US" w:eastAsia="zh-CN"/>
              </w:rPr>
            </w:pPr>
          </w:p>
          <w:p>
            <w:pPr>
              <w:pStyle w:val="15"/>
              <w:rPr>
                <w:rFonts w:hint="eastAsia" w:asciiTheme="minorEastAsia" w:hAnsiTheme="minorEastAsia" w:eastAsiaTheme="minorEastAsia" w:cstheme="minorEastAsia"/>
                <w:b w:val="0"/>
                <w:bCs w:val="0"/>
                <w:color w:val="auto"/>
                <w:sz w:val="21"/>
                <w:szCs w:val="21"/>
                <w:lang w:val="en-US" w:eastAsia="zh-CN"/>
              </w:rPr>
            </w:pPr>
          </w:p>
          <w:p>
            <w:pPr>
              <w:pStyle w:val="15"/>
              <w:rPr>
                <w:rFonts w:hint="eastAsia" w:asciiTheme="minorEastAsia" w:hAnsiTheme="minorEastAsia" w:eastAsiaTheme="minorEastAsia" w:cstheme="minorEastAsia"/>
                <w:b w:val="0"/>
                <w:bCs w:val="0"/>
                <w:color w:val="auto"/>
                <w:sz w:val="21"/>
                <w:szCs w:val="21"/>
                <w:lang w:val="en-US" w:eastAsia="zh-CN"/>
              </w:rPr>
            </w:pP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2、查</w:t>
            </w:r>
            <w:r>
              <w:rPr>
                <w:rFonts w:hint="eastAsia" w:ascii="宋体" w:hAnsi="宋体" w:cs="宋体"/>
                <w:b/>
                <w:bCs/>
                <w:kern w:val="0"/>
                <w:sz w:val="21"/>
                <w:szCs w:val="21"/>
                <w:highlight w:val="none"/>
                <w:lang w:val="en-US" w:eastAsia="zh-CN"/>
              </w:rPr>
              <w:t>庄182井场</w:t>
            </w:r>
            <w:r>
              <w:rPr>
                <w:rFonts w:hint="eastAsia" w:ascii="宋体" w:hAnsi="宋体" w:eastAsia="宋体" w:cs="宋体"/>
                <w:b/>
                <w:bCs/>
                <w:kern w:val="0"/>
                <w:sz w:val="21"/>
                <w:szCs w:val="21"/>
                <w:highlight w:val="none"/>
                <w:lang w:val="en-US" w:eastAsia="zh-CN"/>
              </w:rPr>
              <w:t>电缆线路工程：</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提供的《电缆线路工程检验批质量验收记录》：对1</w:t>
            </w:r>
            <w:r>
              <w:rPr>
                <w:rFonts w:hint="eastAsia" w:ascii="宋体" w:hAnsi="宋体" w:eastAsia="宋体" w:cs="宋体"/>
                <w:color w:val="auto"/>
                <w:szCs w:val="21"/>
              </w:rPr>
              <w:t>电缆支、托架安装</w:t>
            </w:r>
            <w:r>
              <w:rPr>
                <w:rFonts w:hint="eastAsia" w:ascii="宋体" w:hAnsi="宋体" w:eastAsia="宋体" w:cs="宋体"/>
                <w:color w:val="auto"/>
                <w:szCs w:val="21"/>
                <w:lang w:eastAsia="zh-CN"/>
              </w:rPr>
              <w:t>：支、托架焊接应牢固、横平竖直，无显著变形。支、托架切口处无卷边，毛刺，其长度一致。支架层间距及支架距离应符合设计及GB50303-2015的要求，成排安装的电缆支架 高差不应大于5mm。支、托架防腐处理应完整，油漆完好，颜色一致。支、托架全长均应接地良好。</w:t>
            </w:r>
            <w:r>
              <w:rPr>
                <w:rFonts w:hint="eastAsia" w:ascii="宋体" w:hAnsi="宋体" w:eastAsia="宋体" w:cs="宋体"/>
                <w:kern w:val="0"/>
                <w:sz w:val="21"/>
                <w:szCs w:val="21"/>
                <w:highlight w:val="none"/>
                <w:lang w:val="en-US" w:eastAsia="zh-CN"/>
              </w:rPr>
              <w:t>2中间电缆接头制作，要求：制作前应检查电缆型号、规格、电压等级，均应符合设计规定；绝缘应良好；电缆中间接头盒及其配件应齐全、无损伤。中间电缆中间接头制作工艺应符合规程规定，连接管压模尺寸应与芯线规格相符，外观应完好。接地线与电缆屏蔽层，铠装层连接应符合GB50168的要求，锡焊外观应平整，无毛刺。</w:t>
            </w:r>
          </w:p>
          <w:p>
            <w:pPr>
              <w:keepNext w:val="0"/>
              <w:keepLines w:val="0"/>
              <w:suppressLineNumbers w:val="0"/>
              <w:tabs>
                <w:tab w:val="left" w:pos="-52"/>
              </w:tabs>
              <w:spacing w:before="0" w:beforeAutospacing="0" w:after="0" w:afterAutospacing="0" w:line="360" w:lineRule="auto"/>
              <w:ind w:right="0"/>
              <w:rPr>
                <w:rFonts w:hint="eastAsia" w:asciiTheme="minorEastAsia" w:hAnsiTheme="minorEastAsia" w:eastAsiaTheme="minorEastAsia" w:cstheme="minorEastAsia"/>
                <w:b w:val="0"/>
                <w:bCs w:val="0"/>
                <w:color w:val="auto"/>
                <w:sz w:val="21"/>
                <w:szCs w:val="21"/>
                <w:lang w:val="en-US" w:eastAsia="zh-CN"/>
              </w:rPr>
            </w:pPr>
            <w:r>
              <w:rPr>
                <w:rFonts w:hint="eastAsia" w:ascii="宋体" w:hAnsi="宋体" w:eastAsia="宋体" w:cs="宋体"/>
                <w:kern w:val="0"/>
                <w:sz w:val="21"/>
                <w:szCs w:val="21"/>
                <w:highlight w:val="none"/>
                <w:lang w:val="en-US" w:eastAsia="zh-CN"/>
              </w:rPr>
              <w:t xml:space="preserve">   验收结果为</w:t>
            </w:r>
            <w:r>
              <w:rPr>
                <w:rFonts w:hint="eastAsia" w:ascii="宋体" w:hAnsi="宋体" w:cs="宋体"/>
                <w:kern w:val="0"/>
                <w:sz w:val="21"/>
                <w:szCs w:val="21"/>
                <w:highlight w:val="none"/>
                <w:lang w:val="en-US" w:eastAsia="zh-CN"/>
              </w:rPr>
              <w:t>：</w:t>
            </w:r>
            <w:r>
              <w:rPr>
                <w:rFonts w:hint="eastAsia" w:ascii="宋体" w:hAnsi="宋体" w:eastAsia="宋体" w:cs="宋体"/>
                <w:kern w:val="0"/>
                <w:sz w:val="21"/>
                <w:szCs w:val="21"/>
                <w:highlight w:val="none"/>
                <w:lang w:val="en-US" w:eastAsia="zh-CN"/>
              </w:rPr>
              <w:t>符合要求；</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14</w:t>
            </w:r>
            <w:r>
              <w:rPr>
                <w:rFonts w:hint="eastAsia" w:ascii="宋体" w:hAnsi="宋体" w:eastAsia="宋体" w:cs="宋体"/>
                <w:kern w:val="0"/>
                <w:sz w:val="21"/>
                <w:szCs w:val="21"/>
                <w:highlight w:val="none"/>
                <w:lang w:val="en-US" w:eastAsia="zh-CN"/>
              </w:rPr>
              <w:t>日</w:t>
            </w: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cs="宋体"/>
                <w:b/>
                <w:bCs/>
                <w:kern w:val="0"/>
                <w:sz w:val="21"/>
                <w:szCs w:val="21"/>
                <w:highlight w:val="none"/>
                <w:lang w:val="en-US" w:eastAsia="zh-CN"/>
              </w:rPr>
              <w:t>3</w:t>
            </w:r>
            <w:r>
              <w:rPr>
                <w:rFonts w:hint="eastAsia" w:ascii="宋体" w:hAnsi="宋体" w:eastAsia="宋体" w:cs="宋体"/>
                <w:b/>
                <w:bCs/>
                <w:kern w:val="0"/>
                <w:sz w:val="21"/>
                <w:szCs w:val="21"/>
                <w:highlight w:val="none"/>
                <w:lang w:val="en-US" w:eastAsia="zh-CN"/>
              </w:rPr>
              <w:t>、查</w:t>
            </w:r>
            <w:r>
              <w:rPr>
                <w:rFonts w:hint="eastAsia" w:ascii="宋体" w:hAnsi="宋体" w:cs="宋体"/>
                <w:b/>
                <w:bCs/>
                <w:kern w:val="0"/>
                <w:sz w:val="21"/>
                <w:szCs w:val="21"/>
                <w:highlight w:val="none"/>
                <w:lang w:val="en-US" w:eastAsia="zh-CN"/>
              </w:rPr>
              <w:t>徐39-42</w:t>
            </w:r>
            <w:r>
              <w:rPr>
                <w:rFonts w:hint="eastAsia" w:ascii="宋体" w:hAnsi="宋体" w:eastAsia="宋体" w:cs="宋体"/>
                <w:b/>
                <w:bCs/>
                <w:kern w:val="0"/>
                <w:sz w:val="21"/>
                <w:szCs w:val="21"/>
                <w:highlight w:val="none"/>
                <w:lang w:val="en-US" w:eastAsia="zh-CN"/>
              </w:rPr>
              <w:t>井场摄像机安装工程：</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摄像机安装工程检验批质量验收记录表》：摄像机应根据设计文件进行到货检验，设备的规格、型号应符合设计文件规定；随机技术文件的内容和备品、备件应齐全；安装前，对摄像机应逐个通电检查和粗调。调整后，图像清晰后方可安装；摄像机与横担采用螺栓固定连接，固定牢固；线缆回路应进行绝缘测试，并有记录，绝缘电阻大于20MΩ；线缆不能接续；地线、电源线连接牢固，电源线与信号线分槽(或管)敷设，以防干扰。接地电阻不大于3.5Ω。</w:t>
            </w:r>
          </w:p>
          <w:p>
            <w:pPr>
              <w:keepNext w:val="0"/>
              <w:keepLines w:val="0"/>
              <w:suppressLineNumbers w:val="0"/>
              <w:tabs>
                <w:tab w:val="left" w:pos="-52"/>
              </w:tabs>
              <w:spacing w:before="0" w:beforeAutospacing="0" w:after="0" w:afterAutospacing="0" w:line="360" w:lineRule="auto"/>
              <w:ind w:right="0"/>
              <w:rPr>
                <w:rFonts w:hint="eastAsia" w:asciiTheme="minorEastAsia" w:hAnsiTheme="minorEastAsia" w:eastAsiaTheme="minorEastAsia" w:cstheme="minorEastAsia"/>
                <w:b w:val="0"/>
                <w:bCs w:val="0"/>
                <w:color w:val="auto"/>
                <w:sz w:val="21"/>
                <w:szCs w:val="21"/>
                <w:lang w:val="en-US" w:eastAsia="zh-CN"/>
              </w:rPr>
            </w:pPr>
            <w:r>
              <w:rPr>
                <w:rFonts w:hint="eastAsia" w:ascii="宋体" w:hAnsi="宋体" w:eastAsia="宋体" w:cs="宋体"/>
                <w:kern w:val="0"/>
                <w:sz w:val="21"/>
                <w:szCs w:val="21"/>
                <w:highlight w:val="none"/>
                <w:lang w:val="en-US" w:eastAsia="zh-CN"/>
              </w:rPr>
              <w:t xml:space="preserve">   验收结果为</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17</w:t>
            </w:r>
            <w:r>
              <w:rPr>
                <w:rFonts w:hint="eastAsia" w:ascii="宋体" w:hAnsi="宋体" w:eastAsia="宋体" w:cs="宋体"/>
                <w:kern w:val="0"/>
                <w:sz w:val="21"/>
                <w:szCs w:val="21"/>
                <w:highlight w:val="none"/>
                <w:lang w:val="en-US" w:eastAsia="zh-CN"/>
              </w:rPr>
              <w:t>日</w:t>
            </w: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cs="宋体"/>
                <w:b/>
                <w:bCs/>
                <w:kern w:val="0"/>
                <w:sz w:val="21"/>
                <w:szCs w:val="21"/>
                <w:highlight w:val="none"/>
                <w:lang w:val="en-US" w:eastAsia="zh-CN"/>
              </w:rPr>
              <w:t>4</w:t>
            </w:r>
            <w:r>
              <w:rPr>
                <w:rFonts w:hint="eastAsia" w:ascii="宋体" w:hAnsi="宋体" w:eastAsia="宋体" w:cs="宋体"/>
                <w:b/>
                <w:bCs/>
                <w:kern w:val="0"/>
                <w:sz w:val="21"/>
                <w:szCs w:val="21"/>
                <w:highlight w:val="none"/>
                <w:lang w:val="en-US" w:eastAsia="zh-CN"/>
              </w:rPr>
              <w:t>、查</w:t>
            </w:r>
            <w:r>
              <w:rPr>
                <w:rFonts w:hint="eastAsia" w:ascii="宋体" w:hAnsi="宋体" w:cs="宋体"/>
                <w:b/>
                <w:bCs/>
                <w:kern w:val="0"/>
                <w:sz w:val="21"/>
                <w:szCs w:val="21"/>
                <w:highlight w:val="none"/>
                <w:lang w:val="en-US" w:eastAsia="zh-CN"/>
              </w:rPr>
              <w:t>庄182井场</w:t>
            </w:r>
            <w:r>
              <w:rPr>
                <w:rFonts w:hint="eastAsia" w:ascii="宋体" w:hAnsi="宋体" w:eastAsia="宋体" w:cs="宋体"/>
                <w:b/>
                <w:bCs/>
                <w:kern w:val="0"/>
                <w:sz w:val="21"/>
                <w:szCs w:val="21"/>
                <w:highlight w:val="none"/>
                <w:lang w:val="en-US" w:eastAsia="zh-CN"/>
              </w:rPr>
              <w:t>照明器具及配件安装工程：</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照明器具及配件安装工程检验批质量验收记录表》：照明器具及线缆的规格、型号应符合设计要求，并有产品技术质量证明文件；照明器具及光控器外观光滑整洁，无破裂、划伤、变形、漆面脱落且配件齐全；照明器具与横担采用螺栓固定连接，必须牢固、端正、整齐，灯的照明方向朝向监视区域；连接应牢固，紧密，不应伤芯线和断股，压头应压紧；导线进入照明器具接线盒内，导线应留有适当余量，绝缘保护良好；线缆回路进行通断及绝缘测试，并有记录，绝缘电阻大于20MΩ；地线、电源线连接牢固，接地电阻不大于3.5Ω。</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验收结果为</w:t>
            </w:r>
            <w:r>
              <w:rPr>
                <w:rFonts w:hint="eastAsia" w:ascii="宋体" w:hAnsi="宋体" w:cs="宋体"/>
                <w:kern w:val="0"/>
                <w:sz w:val="21"/>
                <w:szCs w:val="21"/>
                <w:highlight w:val="none"/>
                <w:lang w:val="en-US" w:eastAsia="zh-CN"/>
              </w:rPr>
              <w:t>：</w:t>
            </w:r>
            <w:r>
              <w:rPr>
                <w:rFonts w:hint="eastAsia" w:ascii="宋体" w:hAnsi="宋体" w:eastAsia="宋体" w:cs="宋体"/>
                <w:kern w:val="0"/>
                <w:sz w:val="21"/>
                <w:szCs w:val="21"/>
                <w:highlight w:val="none"/>
                <w:lang w:val="en-US" w:eastAsia="zh-CN"/>
              </w:rPr>
              <w:t>符合要求；</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14</w:t>
            </w:r>
            <w:r>
              <w:rPr>
                <w:rFonts w:hint="eastAsia" w:ascii="宋体" w:hAnsi="宋体" w:eastAsia="宋体" w:cs="宋体"/>
                <w:kern w:val="0"/>
                <w:sz w:val="21"/>
                <w:szCs w:val="21"/>
                <w:highlight w:val="none"/>
                <w:lang w:val="en-US" w:eastAsia="zh-CN"/>
              </w:rPr>
              <w:t>日</w:t>
            </w:r>
          </w:p>
          <w:p>
            <w:pPr>
              <w:pStyle w:val="5"/>
              <w:keepNext w:val="0"/>
              <w:keepLines w:val="0"/>
              <w:widowControl w:val="0"/>
              <w:numPr>
                <w:ilvl w:val="0"/>
                <w:numId w:val="0"/>
              </w:numPr>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drawing>
                <wp:anchor distT="0" distB="0" distL="114300" distR="114300" simplePos="0" relativeHeight="251667456" behindDoc="0" locked="0" layoutInCell="1" allowOverlap="1">
                  <wp:simplePos x="0" y="0"/>
                  <wp:positionH relativeFrom="column">
                    <wp:posOffset>2661285</wp:posOffset>
                  </wp:positionH>
                  <wp:positionV relativeFrom="paragraph">
                    <wp:posOffset>83820</wp:posOffset>
                  </wp:positionV>
                  <wp:extent cx="2533015" cy="3446780"/>
                  <wp:effectExtent l="0" t="0" r="6985" b="7620"/>
                  <wp:wrapNone/>
                  <wp:docPr id="10" name="图片 10" descr="微信图片_20220304230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3042306403"/>
                          <pic:cNvPicPr>
                            <a:picLocks noChangeAspect="1"/>
                          </pic:cNvPicPr>
                        </pic:nvPicPr>
                        <pic:blipFill>
                          <a:blip r:embed="rId12"/>
                          <a:stretch>
                            <a:fillRect/>
                          </a:stretch>
                        </pic:blipFill>
                        <pic:spPr>
                          <a:xfrm>
                            <a:off x="0" y="0"/>
                            <a:ext cx="2533015" cy="3446780"/>
                          </a:xfrm>
                          <a:prstGeom prst="rect">
                            <a:avLst/>
                          </a:prstGeom>
                        </pic:spPr>
                      </pic:pic>
                    </a:graphicData>
                  </a:graphic>
                </wp:anchor>
              </w:drawing>
            </w:r>
            <w:r>
              <w:rPr>
                <w:rFonts w:hint="eastAsia" w:asciiTheme="minorEastAsia" w:hAnsiTheme="minorEastAsia" w:eastAsiaTheme="minorEastAsia" w:cstheme="minorEastAsia"/>
                <w:b w:val="0"/>
                <w:bCs w:val="0"/>
                <w:color w:val="auto"/>
                <w:sz w:val="21"/>
                <w:szCs w:val="21"/>
                <w:lang w:val="en-US" w:eastAsia="zh-CN"/>
              </w:rPr>
              <w:drawing>
                <wp:inline distT="0" distB="0" distL="114300" distR="114300">
                  <wp:extent cx="2518410" cy="3469005"/>
                  <wp:effectExtent l="0" t="0" r="8890" b="10795"/>
                  <wp:docPr id="9" name="图片 9" descr="微信图片_20220304230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3042306411"/>
                          <pic:cNvPicPr>
                            <a:picLocks noChangeAspect="1"/>
                          </pic:cNvPicPr>
                        </pic:nvPicPr>
                        <pic:blipFill>
                          <a:blip r:embed="rId13"/>
                          <a:stretch>
                            <a:fillRect/>
                          </a:stretch>
                        </pic:blipFill>
                        <pic:spPr>
                          <a:xfrm>
                            <a:off x="0" y="0"/>
                            <a:ext cx="2518410" cy="3469005"/>
                          </a:xfrm>
                          <a:prstGeom prst="rect">
                            <a:avLst/>
                          </a:prstGeom>
                        </pic:spPr>
                      </pic:pic>
                    </a:graphicData>
                  </a:graphic>
                </wp:inline>
              </w:drawing>
            </w:r>
          </w:p>
          <w:p>
            <w:pPr>
              <w:pStyle w:val="6"/>
              <w:rPr>
                <w:rFonts w:hint="eastAsia" w:asciiTheme="minorEastAsia" w:hAnsiTheme="minorEastAsia" w:eastAsiaTheme="minorEastAsia" w:cstheme="minorEastAsia"/>
                <w:b w:val="0"/>
                <w:bCs w:val="0"/>
                <w:color w:val="auto"/>
                <w:sz w:val="21"/>
                <w:szCs w:val="21"/>
                <w:lang w:val="en-US" w:eastAsia="zh-CN"/>
              </w:rPr>
            </w:pP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cs="宋体"/>
                <w:b/>
                <w:bCs/>
                <w:kern w:val="0"/>
                <w:sz w:val="21"/>
                <w:szCs w:val="21"/>
                <w:highlight w:val="none"/>
                <w:lang w:val="en-US" w:eastAsia="zh-CN"/>
              </w:rPr>
              <w:t>5</w:t>
            </w:r>
            <w:r>
              <w:rPr>
                <w:rFonts w:hint="eastAsia" w:ascii="宋体" w:hAnsi="宋体" w:eastAsia="宋体" w:cs="宋体"/>
                <w:b/>
                <w:bCs/>
                <w:kern w:val="0"/>
                <w:sz w:val="21"/>
                <w:szCs w:val="21"/>
                <w:highlight w:val="none"/>
                <w:lang w:val="en-US" w:eastAsia="zh-CN"/>
              </w:rPr>
              <w:t>、查</w:t>
            </w:r>
            <w:r>
              <w:rPr>
                <w:rFonts w:hint="eastAsia" w:ascii="宋体" w:hAnsi="宋体" w:cs="宋体"/>
                <w:b/>
                <w:bCs/>
                <w:kern w:val="0"/>
                <w:sz w:val="21"/>
                <w:szCs w:val="21"/>
                <w:highlight w:val="none"/>
                <w:lang w:val="en-US" w:eastAsia="zh-CN"/>
              </w:rPr>
              <w:t>徐33-44</w:t>
            </w:r>
            <w:r>
              <w:rPr>
                <w:rFonts w:hint="eastAsia" w:ascii="宋体" w:hAnsi="宋体" w:eastAsia="宋体" w:cs="宋体"/>
                <w:b/>
                <w:bCs/>
                <w:kern w:val="0"/>
                <w:sz w:val="21"/>
                <w:szCs w:val="21"/>
                <w:highlight w:val="none"/>
                <w:lang w:val="en-US" w:eastAsia="zh-CN"/>
              </w:rPr>
              <w:t>井场室外号角安装工程：</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w:t>
            </w:r>
            <w:r>
              <w:rPr>
                <w:rFonts w:hint="eastAsia" w:ascii="宋体" w:hAnsi="宋体" w:eastAsia="宋体" w:cs="宋体"/>
                <w:kern w:val="0"/>
                <w:sz w:val="21"/>
                <w:szCs w:val="21"/>
                <w:highlight w:val="none"/>
                <w:lang w:val="en-GB" w:eastAsia="zh-CN"/>
              </w:rPr>
              <w:t>室外号角</w:t>
            </w:r>
            <w:r>
              <w:rPr>
                <w:rFonts w:hint="eastAsia" w:ascii="宋体" w:hAnsi="宋体" w:eastAsia="宋体" w:cs="宋体"/>
                <w:kern w:val="0"/>
                <w:sz w:val="21"/>
                <w:szCs w:val="21"/>
                <w:highlight w:val="none"/>
                <w:lang w:val="en-US" w:eastAsia="zh-CN"/>
              </w:rPr>
              <w:t>安装工程检验批质量验收记录表》：室外号角及附件的规格、型号应符合设计要求，并有产品技术质量证明文件；室外号角的外观应完好，无损伤，配件应齐全；室外号角中心距地面按设计高度允许偏差±50mm；室外号角通过U型抱箍、螺栓固定牢固；室外号角的方向朝向监视区域；连接应牢固，紧密，不应伤芯线和断股，压头应压紧；导线进入接线端子，留有适当余量，绝缘保护良好；线缆回路进行通断及绝缘测试，并有记录，绝缘电阻大于20MΩ；地线、电源线连接牢固，接地电阻不大于3.5Ω。</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验收结果为</w:t>
            </w:r>
            <w:r>
              <w:rPr>
                <w:rFonts w:hint="eastAsia" w:ascii="宋体" w:hAnsi="宋体" w:cs="宋体"/>
                <w:kern w:val="0"/>
                <w:sz w:val="21"/>
                <w:szCs w:val="21"/>
                <w:highlight w:val="none"/>
                <w:lang w:val="en-US" w:eastAsia="zh-CN"/>
              </w:rPr>
              <w:t>：</w:t>
            </w:r>
            <w:r>
              <w:rPr>
                <w:rFonts w:hint="eastAsia" w:ascii="宋体" w:hAnsi="宋体" w:eastAsia="宋体" w:cs="宋体"/>
                <w:kern w:val="0"/>
                <w:sz w:val="21"/>
                <w:szCs w:val="21"/>
                <w:highlight w:val="none"/>
                <w:lang w:val="en-US" w:eastAsia="zh-CN"/>
              </w:rPr>
              <w:t>符合要求；</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11</w:t>
            </w:r>
            <w:r>
              <w:rPr>
                <w:rFonts w:hint="eastAsia" w:ascii="宋体" w:hAnsi="宋体" w:eastAsia="宋体" w:cs="宋体"/>
                <w:kern w:val="0"/>
                <w:sz w:val="21"/>
                <w:szCs w:val="21"/>
                <w:highlight w:val="none"/>
                <w:lang w:val="en-US" w:eastAsia="zh-CN"/>
              </w:rPr>
              <w:t>日</w:t>
            </w:r>
          </w:p>
          <w:p>
            <w:pPr>
              <w:pStyle w:val="6"/>
              <w:ind w:left="0" w:leftChars="0" w:firstLine="0" w:firstLineChars="0"/>
              <w:rPr>
                <w:rFonts w:hint="eastAsia" w:asciiTheme="minorEastAsia" w:hAnsiTheme="minorEastAsia" w:eastAsiaTheme="minorEastAsia" w:cstheme="minorEastAsia"/>
                <w:b w:val="0"/>
                <w:bCs w:val="0"/>
                <w:color w:val="auto"/>
                <w:sz w:val="21"/>
                <w:szCs w:val="21"/>
                <w:lang w:val="en-US" w:eastAsia="zh-CN"/>
              </w:rPr>
            </w:pP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cs="宋体"/>
                <w:b/>
                <w:bCs/>
                <w:kern w:val="0"/>
                <w:sz w:val="21"/>
                <w:szCs w:val="21"/>
                <w:highlight w:val="none"/>
                <w:lang w:val="en-US" w:eastAsia="zh-CN"/>
              </w:rPr>
              <w:t>6</w:t>
            </w:r>
            <w:r>
              <w:rPr>
                <w:rFonts w:hint="eastAsia" w:ascii="宋体" w:hAnsi="宋体" w:eastAsia="宋体" w:cs="宋体"/>
                <w:b/>
                <w:bCs/>
                <w:kern w:val="0"/>
                <w:sz w:val="21"/>
                <w:szCs w:val="21"/>
                <w:highlight w:val="none"/>
                <w:lang w:val="en-US" w:eastAsia="zh-CN"/>
              </w:rPr>
              <w:t>、查</w:t>
            </w:r>
            <w:r>
              <w:rPr>
                <w:rFonts w:hint="eastAsia" w:ascii="宋体" w:hAnsi="宋体" w:cs="宋体"/>
                <w:b/>
                <w:bCs/>
                <w:kern w:val="0"/>
                <w:sz w:val="21"/>
                <w:szCs w:val="21"/>
                <w:highlight w:val="none"/>
                <w:lang w:val="en-US" w:eastAsia="zh-CN"/>
              </w:rPr>
              <w:t>徐39-42</w:t>
            </w:r>
            <w:r>
              <w:rPr>
                <w:rFonts w:hint="eastAsia" w:ascii="宋体" w:hAnsi="宋体" w:eastAsia="宋体" w:cs="宋体"/>
                <w:b/>
                <w:bCs/>
                <w:kern w:val="0"/>
                <w:sz w:val="21"/>
                <w:szCs w:val="21"/>
                <w:highlight w:val="none"/>
                <w:lang w:val="en-US" w:eastAsia="zh-CN"/>
              </w:rPr>
              <w:t>井场接地及避雷安装工程：</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接地安装工程检验批质量验收记录表》：接地材料的规格、型号应符合设计要求；接地体引出线的垂直部分和焊接部位应进行防腐处理（涂刷银粉漆）；接地体顶面埋设深度≥0.6m；接地引线应采用焊接连接，与接地装置连接应用镀锌螺栓连接；接地电阻不大于4Ω；漆色标志应清晰、正确、防腐完整，无遗漏。</w:t>
            </w:r>
          </w:p>
          <w:p>
            <w:pPr>
              <w:pStyle w:val="15"/>
              <w:spacing w:line="360" w:lineRule="auto"/>
              <w:ind w:left="0" w:leftChars="0" w:firstLine="0" w:firstLineChars="0"/>
              <w:rPr>
                <w:rFonts w:hint="eastAsia" w:hAnsi="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验收结果为</w:t>
            </w:r>
            <w:r>
              <w:rPr>
                <w:rFonts w:hint="eastAsia" w:ascii="宋体" w:hAnsi="宋体" w:cs="宋体"/>
                <w:kern w:val="0"/>
                <w:sz w:val="21"/>
                <w:szCs w:val="21"/>
                <w:highlight w:val="none"/>
                <w:lang w:val="en-US" w:eastAsia="zh-CN"/>
              </w:rPr>
              <w:t>：</w:t>
            </w:r>
            <w:r>
              <w:rPr>
                <w:rFonts w:hint="eastAsia" w:ascii="宋体" w:hAnsi="宋体" w:eastAsia="宋体" w:cs="宋体"/>
                <w:kern w:val="0"/>
                <w:sz w:val="21"/>
                <w:szCs w:val="21"/>
                <w:highlight w:val="none"/>
                <w:lang w:val="en-US" w:eastAsia="zh-CN"/>
              </w:rPr>
              <w:t>符合要求；</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w:t>
            </w:r>
            <w:r>
              <w:rPr>
                <w:rFonts w:hint="eastAsia" w:hAnsi="宋体" w:cs="宋体"/>
                <w:kern w:val="0"/>
                <w:sz w:val="21"/>
                <w:szCs w:val="21"/>
                <w:highlight w:val="none"/>
                <w:lang w:val="en-US" w:eastAsia="zh-CN"/>
              </w:rPr>
              <w:t>8</w:t>
            </w:r>
            <w:r>
              <w:rPr>
                <w:rFonts w:hint="eastAsia" w:ascii="宋体" w:hAnsi="宋体" w:eastAsia="宋体" w:cs="宋体"/>
                <w:kern w:val="0"/>
                <w:sz w:val="21"/>
                <w:szCs w:val="21"/>
                <w:highlight w:val="none"/>
                <w:lang w:val="en-US" w:eastAsia="zh-CN"/>
              </w:rPr>
              <w:t>日</w:t>
            </w:r>
          </w:p>
          <w:p>
            <w:pPr>
              <w:pStyle w:val="15"/>
              <w:ind w:left="0" w:leftChars="0" w:firstLine="0" w:firstLineChars="0"/>
              <w:rPr>
                <w:rFonts w:hint="eastAsia" w:hAnsi="宋体" w:cs="宋体"/>
                <w:kern w:val="0"/>
                <w:sz w:val="21"/>
                <w:szCs w:val="21"/>
                <w:highlight w:val="none"/>
                <w:lang w:val="en-US" w:eastAsia="zh-CN"/>
              </w:rPr>
            </w:pPr>
            <w:r>
              <w:rPr>
                <w:rFonts w:hint="eastAsia" w:hAnsi="宋体" w:cs="宋体"/>
                <w:kern w:val="0"/>
                <w:sz w:val="21"/>
                <w:szCs w:val="21"/>
                <w:highlight w:val="none"/>
                <w:lang w:val="en-US" w:eastAsia="zh-CN"/>
              </w:rPr>
              <w:drawing>
                <wp:anchor distT="0" distB="0" distL="114300" distR="114300" simplePos="0" relativeHeight="251668480" behindDoc="0" locked="0" layoutInCell="1" allowOverlap="1">
                  <wp:simplePos x="0" y="0"/>
                  <wp:positionH relativeFrom="column">
                    <wp:posOffset>3105785</wp:posOffset>
                  </wp:positionH>
                  <wp:positionV relativeFrom="paragraph">
                    <wp:posOffset>132080</wp:posOffset>
                  </wp:positionV>
                  <wp:extent cx="2633345" cy="3693160"/>
                  <wp:effectExtent l="0" t="0" r="8255" b="2540"/>
                  <wp:wrapNone/>
                  <wp:docPr id="14" name="图片 14" descr="微信图片_20220304230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3042306414"/>
                          <pic:cNvPicPr>
                            <a:picLocks noChangeAspect="1"/>
                          </pic:cNvPicPr>
                        </pic:nvPicPr>
                        <pic:blipFill>
                          <a:blip r:embed="rId14"/>
                          <a:stretch>
                            <a:fillRect/>
                          </a:stretch>
                        </pic:blipFill>
                        <pic:spPr>
                          <a:xfrm>
                            <a:off x="0" y="0"/>
                            <a:ext cx="2633345" cy="3693160"/>
                          </a:xfrm>
                          <a:prstGeom prst="rect">
                            <a:avLst/>
                          </a:prstGeom>
                        </pic:spPr>
                      </pic:pic>
                    </a:graphicData>
                  </a:graphic>
                </wp:anchor>
              </w:drawing>
            </w:r>
            <w:r>
              <w:rPr>
                <w:rFonts w:hint="eastAsia" w:hAnsi="宋体" w:cs="宋体"/>
                <w:kern w:val="0"/>
                <w:sz w:val="21"/>
                <w:szCs w:val="21"/>
                <w:highlight w:val="none"/>
                <w:lang w:val="en-US" w:eastAsia="zh-CN"/>
              </w:rPr>
              <w:drawing>
                <wp:inline distT="0" distB="0" distL="114300" distR="114300">
                  <wp:extent cx="2903855" cy="4017645"/>
                  <wp:effectExtent l="0" t="0" r="4445" b="8255"/>
                  <wp:docPr id="11" name="图片 11" descr="微信图片_20220304230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3042306415"/>
                          <pic:cNvPicPr>
                            <a:picLocks noChangeAspect="1"/>
                          </pic:cNvPicPr>
                        </pic:nvPicPr>
                        <pic:blipFill>
                          <a:blip r:embed="rId15"/>
                          <a:stretch>
                            <a:fillRect/>
                          </a:stretch>
                        </pic:blipFill>
                        <pic:spPr>
                          <a:xfrm>
                            <a:off x="0" y="0"/>
                            <a:ext cx="2903855" cy="4017645"/>
                          </a:xfrm>
                          <a:prstGeom prst="rect">
                            <a:avLst/>
                          </a:prstGeom>
                        </pic:spPr>
                      </pic:pic>
                    </a:graphicData>
                  </a:graphic>
                </wp:inline>
              </w:drawing>
            </w: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cs="宋体"/>
                <w:b/>
                <w:bCs/>
                <w:kern w:val="0"/>
                <w:sz w:val="21"/>
                <w:szCs w:val="21"/>
                <w:highlight w:val="none"/>
                <w:lang w:val="en-US" w:eastAsia="zh-CN"/>
              </w:rPr>
              <w:t>7</w:t>
            </w:r>
            <w:r>
              <w:rPr>
                <w:rFonts w:hint="eastAsia" w:ascii="宋体" w:hAnsi="宋体" w:eastAsia="宋体" w:cs="宋体"/>
                <w:b/>
                <w:bCs/>
                <w:kern w:val="0"/>
                <w:sz w:val="21"/>
                <w:szCs w:val="21"/>
                <w:highlight w:val="none"/>
                <w:lang w:val="en-US" w:eastAsia="zh-CN"/>
              </w:rPr>
              <w:t>、查426-10井场出油管线压力变送器安装、网络安装工程：</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RTU柜安装工程检验批质量验收记录》：位置应正确，配件应齐全，箱体开孔引发合适，切口应整齐，油漆应完好；暗配式箱盖应紧贴墙面四周无缝隙；箱内光纤接线应整齐，回路编号应齐全、正确，绝缘良好；照明工程的漏电保护装置应做模拟动作试验，漏电保护装置动作电流不应大于30mA,动作时间不大于0.1s；箱、盘应安装牢固，垂直度允许偏差为1.5‰；底边距地面为1.5m,照明配电板底边距地面不应小于1.8m；连接应牢固、紧密，不应伤芯线和断股，压头应压紧；开关切断相线和螺口灯头相线应接在中心触电；导线进入器具内，应留有适当余量，绝缘保护应良好；同一端子上导线连接不应多于2根，防松垫圈等零件应齐全。</w:t>
            </w:r>
          </w:p>
          <w:p>
            <w:pPr>
              <w:pStyle w:val="1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hAnsi="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验收结果为</w:t>
            </w:r>
            <w:r>
              <w:rPr>
                <w:rFonts w:hint="eastAsia" w:ascii="宋体" w:hAnsi="宋体" w:cs="宋体"/>
                <w:kern w:val="0"/>
                <w:sz w:val="21"/>
                <w:szCs w:val="21"/>
                <w:highlight w:val="none"/>
                <w:lang w:val="en-US" w:eastAsia="zh-CN"/>
              </w:rPr>
              <w:t>：</w:t>
            </w:r>
            <w:r>
              <w:rPr>
                <w:rFonts w:hint="eastAsia" w:ascii="宋体" w:hAnsi="宋体" w:eastAsia="宋体" w:cs="宋体"/>
                <w:kern w:val="0"/>
                <w:sz w:val="21"/>
                <w:szCs w:val="21"/>
                <w:highlight w:val="none"/>
                <w:lang w:val="en-US" w:eastAsia="zh-CN"/>
              </w:rPr>
              <w:t>符合要求；</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w:t>
            </w:r>
            <w:r>
              <w:rPr>
                <w:rFonts w:hint="eastAsia" w:hAnsi="宋体" w:cs="宋体"/>
                <w:kern w:val="0"/>
                <w:sz w:val="21"/>
                <w:szCs w:val="21"/>
                <w:highlight w:val="none"/>
                <w:lang w:val="en-US" w:eastAsia="zh-CN"/>
              </w:rPr>
              <w:t>8</w:t>
            </w:r>
            <w:r>
              <w:rPr>
                <w:rFonts w:hint="eastAsia" w:ascii="宋体" w:hAnsi="宋体" w:eastAsia="宋体" w:cs="宋体"/>
                <w:kern w:val="0"/>
                <w:sz w:val="21"/>
                <w:szCs w:val="21"/>
                <w:highlight w:val="none"/>
                <w:lang w:val="en-US" w:eastAsia="zh-CN"/>
              </w:rPr>
              <w:t>日</w:t>
            </w:r>
          </w:p>
          <w:p>
            <w:pPr>
              <w:pStyle w:val="15"/>
              <w:ind w:left="0" w:leftChars="0" w:firstLine="0" w:firstLineChars="0"/>
              <w:rPr>
                <w:rFonts w:hint="eastAsia" w:hAnsi="宋体" w:cs="宋体"/>
                <w:kern w:val="0"/>
                <w:sz w:val="21"/>
                <w:szCs w:val="21"/>
                <w:highlight w:val="none"/>
                <w:lang w:val="en-US" w:eastAsia="zh-CN"/>
              </w:rPr>
            </w:pPr>
          </w:p>
          <w:p>
            <w:pPr>
              <w:snapToGrid w:val="0"/>
              <w:spacing w:line="360" w:lineRule="auto"/>
              <w:rPr>
                <w:rFonts w:hint="eastAsia" w:ascii="宋体" w:hAnsi="宋体" w:eastAsia="宋体" w:cs="宋体"/>
                <w:color w:val="auto"/>
                <w:szCs w:val="21"/>
              </w:rPr>
            </w:pPr>
            <w:r>
              <w:rPr>
                <w:rFonts w:hint="eastAsia" w:hAnsi="宋体" w:cs="宋体"/>
                <w:kern w:val="0"/>
                <w:sz w:val="21"/>
                <w:szCs w:val="21"/>
                <w:highlight w:val="none"/>
                <w:lang w:val="en-US" w:eastAsia="zh-CN"/>
              </w:rPr>
              <w:t>视频看到</w:t>
            </w:r>
            <w:r>
              <w:rPr>
                <w:rFonts w:hint="eastAsia" w:asciiTheme="minorEastAsia" w:hAnsiTheme="minorEastAsia" w:eastAsiaTheme="minorEastAsia" w:cstheme="minorEastAsia"/>
                <w:b w:val="0"/>
                <w:bCs w:val="0"/>
                <w:color w:val="auto"/>
                <w:sz w:val="21"/>
                <w:szCs w:val="21"/>
                <w:lang w:val="en-US" w:eastAsia="zh-CN"/>
              </w:rPr>
              <w:t>徐49-20井场，员工</w:t>
            </w:r>
            <w:r>
              <w:rPr>
                <w:rFonts w:hint="eastAsia"/>
                <w:lang w:val="en-US" w:eastAsia="zh-CN"/>
              </w:rPr>
              <w:t>蔡明瑞正在安装调试经常物联网系统，员工</w:t>
            </w:r>
            <w:r>
              <w:rPr>
                <w:rFonts w:hint="eastAsia"/>
                <w:lang w:eastAsia="zh-CN"/>
              </w:rPr>
              <w:t>赵永永</w:t>
            </w:r>
            <w:r>
              <w:rPr>
                <w:rFonts w:hint="eastAsia"/>
                <w:lang w:val="en-US" w:eastAsia="zh-CN"/>
              </w:rPr>
              <w:t>正在安装调试油井压力变送器</w:t>
            </w:r>
            <w:r>
              <w:rPr>
                <w:rFonts w:hint="eastAsia" w:asciiTheme="minorEastAsia" w:hAnsiTheme="minorEastAsia" w:eastAsiaTheme="minorEastAsia" w:cstheme="minorEastAsia"/>
                <w:b w:val="0"/>
                <w:bCs w:val="0"/>
                <w:color w:val="auto"/>
                <w:sz w:val="21"/>
                <w:szCs w:val="21"/>
                <w:lang w:val="en-US" w:eastAsia="zh-CN"/>
              </w:rPr>
              <w:t>，查看相关施工、检查记录，满足要求。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07" w:type="dxa"/>
            <w:vAlign w:val="center"/>
          </w:tcPr>
          <w:p>
            <w:pPr>
              <w:spacing w:line="360" w:lineRule="auto"/>
              <w:rPr>
                <w:rFonts w:ascii="宋体" w:hAnsi="宋体" w:cs="Arial"/>
                <w:color w:val="auto"/>
                <w:szCs w:val="21"/>
              </w:rPr>
            </w:pPr>
            <w:r>
              <w:rPr>
                <w:rFonts w:hint="eastAsia" w:ascii="宋体" w:hAnsi="宋体" w:cs="Arial"/>
                <w:color w:val="auto"/>
                <w:szCs w:val="21"/>
              </w:rPr>
              <w:t>放行</w:t>
            </w:r>
          </w:p>
          <w:p>
            <w:pPr>
              <w:snapToGrid w:val="0"/>
              <w:spacing w:line="360" w:lineRule="auto"/>
              <w:rPr>
                <w:rFonts w:hint="eastAsia"/>
                <w:b/>
                <w:bCs/>
                <w:color w:val="auto"/>
              </w:rPr>
            </w:pPr>
          </w:p>
        </w:tc>
        <w:tc>
          <w:tcPr>
            <w:tcW w:w="1313" w:type="dxa"/>
            <w:vAlign w:val="center"/>
          </w:tcPr>
          <w:p>
            <w:pPr>
              <w:snapToGrid w:val="0"/>
              <w:spacing w:line="360" w:lineRule="auto"/>
              <w:rPr>
                <w:rFonts w:hint="default"/>
                <w:lang w:val="en-US" w:eastAsia="zh-CN"/>
              </w:rPr>
            </w:pPr>
            <w:r>
              <w:rPr>
                <w:rFonts w:hint="eastAsia"/>
                <w:lang w:val="en-US" w:eastAsia="zh-CN"/>
              </w:rPr>
              <w:t>Q8.6</w:t>
            </w:r>
          </w:p>
          <w:p>
            <w:pPr>
              <w:snapToGrid w:val="0"/>
              <w:spacing w:line="360" w:lineRule="auto"/>
              <w:rPr>
                <w:rFonts w:hint="eastAsia" w:ascii="Times New Roman" w:hAnsi="Times New Roman" w:eastAsia="宋体" w:cs="Times New Roman"/>
                <w:kern w:val="2"/>
                <w:sz w:val="21"/>
                <w:lang w:val="en-US" w:eastAsia="zh-CN" w:bidi="ar-SA"/>
              </w:rPr>
            </w:pPr>
            <w:r>
              <w:rPr>
                <w:rFonts w:hint="eastAsia"/>
                <w:lang w:val="en-US" w:eastAsia="zh-CN"/>
              </w:rPr>
              <w:t>J</w:t>
            </w:r>
            <w:r>
              <w:rPr>
                <w:rFonts w:hint="eastAsia" w:ascii="Times New Roman" w:hAnsi="Times New Roman" w:eastAsia="宋体" w:cs="Times New Roman"/>
                <w:kern w:val="2"/>
                <w:sz w:val="21"/>
                <w:lang w:val="en-US" w:eastAsia="zh-CN" w:bidi="ar-SA"/>
              </w:rPr>
              <w:t>11.3.1-3</w:t>
            </w:r>
          </w:p>
        </w:tc>
        <w:tc>
          <w:tcPr>
            <w:tcW w:w="10004" w:type="dxa"/>
            <w:vAlign w:val="center"/>
          </w:tcPr>
          <w:p>
            <w:pPr>
              <w:keepNext w:val="0"/>
              <w:keepLines w:val="0"/>
              <w:suppressLineNumbers w:val="0"/>
              <w:tabs>
                <w:tab w:val="left" w:pos="6597"/>
              </w:tabs>
              <w:spacing w:before="0" w:beforeAutospacing="0" w:after="0" w:afterAutospacing="0" w:line="360" w:lineRule="auto"/>
              <w:ind w:left="0" w:right="-6" w:rightChars="-3"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为确保采购物资符合要求，对采购物资实施验证活动；暂无在供方处验证要求，同时也没有要求在供方处进行验证。</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查：进货检验，</w:t>
            </w:r>
            <w:r>
              <w:rPr>
                <w:rFonts w:hint="eastAsia"/>
                <w:lang w:val="en-US" w:eastAsia="zh-CN"/>
              </w:rPr>
              <w:t>《</w:t>
            </w:r>
            <w:r>
              <w:rPr>
                <w:rFonts w:hint="eastAsia"/>
              </w:rPr>
              <w:t>进货检验记录表</w:t>
            </w:r>
            <w:r>
              <w:rPr>
                <w:rFonts w:hint="eastAsia"/>
                <w:lang w:val="en-US" w:eastAsia="zh-CN"/>
              </w:rPr>
              <w:t>》2021年10月21日，产品包含：</w:t>
            </w:r>
            <w:r>
              <w:rPr>
                <w:rFonts w:hint="eastAsia" w:ascii="Times New Roman" w:hAnsi="Times New Roman" w:cs="Times New Roman"/>
                <w:szCs w:val="22"/>
                <w:lang w:val="en-US" w:eastAsia="zh-CN"/>
              </w:rPr>
              <w:t>1台2088G/S22A1B4E5压力变送器、1台一光</w:t>
            </w:r>
            <w:r>
              <w:rPr>
                <w:rFonts w:hint="eastAsia" w:asciiTheme="minorEastAsia" w:hAnsiTheme="minorEastAsia" w:eastAsiaTheme="minorEastAsia" w:cstheme="minorEastAsia"/>
                <w:sz w:val="21"/>
                <w:szCs w:val="21"/>
                <w:lang w:val="en-US" w:eastAsia="zh-CN"/>
              </w:rPr>
              <w:t>电 KIEN1005-S（M）-4TX交换机、1套 EN-66+VS-50W叭及功放、1台VP3040H一体化云台摄像机、1套AT-220∶井场智能视频服务器。检查内容：数量、质量证明文件、到货日期、型号、外观，检验人：蔡明瑞，结论：合格。</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再查《</w:t>
            </w:r>
            <w:r>
              <w:rPr>
                <w:rFonts w:hint="eastAsia" w:asciiTheme="minorEastAsia" w:hAnsiTheme="minorEastAsia" w:eastAsiaTheme="minorEastAsia" w:cstheme="minorEastAsia"/>
                <w:sz w:val="21"/>
                <w:szCs w:val="21"/>
              </w:rPr>
              <w:t>进货检验记录表</w:t>
            </w:r>
            <w:r>
              <w:rPr>
                <w:rFonts w:hint="eastAsia" w:asciiTheme="minorEastAsia" w:hAnsiTheme="minorEastAsia" w:eastAsiaTheme="minorEastAsia" w:cstheme="minorEastAsia"/>
                <w:sz w:val="21"/>
                <w:szCs w:val="21"/>
                <w:lang w:val="en-US" w:eastAsia="zh-CN"/>
              </w:rPr>
              <w:t>》2021年10月28日，产品包含：</w:t>
            </w:r>
            <w:r>
              <w:rPr>
                <w:rFonts w:hint="eastAsia" w:asciiTheme="minorEastAsia" w:hAnsiTheme="minorEastAsia" w:eastAsiaTheme="minorEastAsia" w:cstheme="minorEastAsia"/>
                <w:sz w:val="21"/>
                <w:szCs w:val="21"/>
              </w:rPr>
              <w:t>600</w:t>
            </w:r>
            <w:r>
              <w:rPr>
                <w:rFonts w:hint="eastAsia" w:asciiTheme="minorEastAsia" w:hAnsiTheme="minorEastAsia" w:eastAsiaTheme="minorEastAsia" w:cstheme="minorEastAsia"/>
                <w:sz w:val="21"/>
                <w:szCs w:val="21"/>
                <w:lang w:val="en-US" w:eastAsia="zh-CN"/>
              </w:rPr>
              <w:t>件</w:t>
            </w:r>
            <w:r>
              <w:rPr>
                <w:rFonts w:hint="eastAsia" w:asciiTheme="minorEastAsia" w:hAnsiTheme="minorEastAsia" w:eastAsiaTheme="minorEastAsia" w:cstheme="minorEastAsia"/>
                <w:sz w:val="21"/>
                <w:szCs w:val="21"/>
              </w:rPr>
              <w:t>YJV22 3*25+1*16电缆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1000</w:t>
            </w:r>
            <w:r>
              <w:rPr>
                <w:rFonts w:hint="eastAsia" w:asciiTheme="minorEastAsia" w:hAnsiTheme="minorEastAsia" w:eastAsiaTheme="minorEastAsia" w:cstheme="minorEastAsia"/>
                <w:sz w:val="21"/>
                <w:szCs w:val="21"/>
                <w:lang w:val="en-US" w:eastAsia="zh-CN"/>
              </w:rPr>
              <w:t>件</w:t>
            </w:r>
            <w:r>
              <w:rPr>
                <w:rFonts w:hint="eastAsia" w:asciiTheme="minorEastAsia" w:hAnsiTheme="minorEastAsia" w:eastAsiaTheme="minorEastAsia" w:cstheme="minorEastAsia"/>
                <w:sz w:val="21"/>
                <w:szCs w:val="21"/>
              </w:rPr>
              <w:t>KWVRP 2*1.5</w:t>
            </w:r>
            <w:r>
              <w:rPr>
                <w:rFonts w:hint="eastAsia" w:asciiTheme="minorEastAsia" w:hAnsiTheme="minorEastAsia" w:eastAsiaTheme="minorEastAsia" w:cstheme="minorEastAsia"/>
                <w:sz w:val="21"/>
                <w:szCs w:val="21"/>
                <w:lang w:val="en-US" w:eastAsia="zh-CN"/>
              </w:rPr>
              <w:t>电缆、525件</w:t>
            </w:r>
            <w:r>
              <w:rPr>
                <w:rFonts w:hint="eastAsia" w:asciiTheme="minorEastAsia" w:hAnsiTheme="minorEastAsia" w:eastAsiaTheme="minorEastAsia" w:cstheme="minorEastAsia"/>
                <w:sz w:val="21"/>
                <w:szCs w:val="21"/>
              </w:rPr>
              <w:t>KVVR 3*2.5</w:t>
            </w:r>
            <w:r>
              <w:rPr>
                <w:rFonts w:hint="eastAsia" w:asciiTheme="minorEastAsia" w:hAnsiTheme="minorEastAsia" w:eastAsiaTheme="minorEastAsia" w:cstheme="minorEastAsia"/>
                <w:sz w:val="21"/>
                <w:szCs w:val="21"/>
                <w:lang w:val="en-US" w:eastAsia="zh-CN"/>
              </w:rPr>
              <w:t>电缆…… 检查内容：数量、质量证明文件、到货日期、型号、外观，检验人：蔡明瑞，结论：合格。</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过程检验详见8.5.1条款。</w:t>
            </w:r>
          </w:p>
          <w:p>
            <w:pPr>
              <w:keepNext w:val="0"/>
              <w:keepLines w:val="0"/>
              <w:suppressLineNumbers w:val="0"/>
              <w:spacing w:before="0" w:beforeAutospacing="0" w:after="0" w:afterAutospacing="0" w:line="360" w:lineRule="auto"/>
              <w:ind w:left="0" w:right="-6" w:rightChars="-3" w:firstLine="4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根据工程部门武晓伟经理介绍，井场物联网施工项目完成后，交由甲方现场验收；提供的《工程验收确认单》、《工程竣工结算单》。</w:t>
            </w:r>
          </w:p>
          <w:p>
            <w:pPr>
              <w:pStyle w:val="3"/>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drawing>
                <wp:anchor distT="0" distB="0" distL="114300" distR="114300" simplePos="0" relativeHeight="251669504" behindDoc="0" locked="0" layoutInCell="1" allowOverlap="1">
                  <wp:simplePos x="0" y="0"/>
                  <wp:positionH relativeFrom="column">
                    <wp:posOffset>3066415</wp:posOffset>
                  </wp:positionH>
                  <wp:positionV relativeFrom="paragraph">
                    <wp:posOffset>162560</wp:posOffset>
                  </wp:positionV>
                  <wp:extent cx="2617470" cy="3702050"/>
                  <wp:effectExtent l="0" t="0" r="11430" b="6350"/>
                  <wp:wrapNone/>
                  <wp:docPr id="15" name="图片 15" descr="工程验收确认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验收确认单1"/>
                          <pic:cNvPicPr>
                            <a:picLocks noChangeAspect="1"/>
                          </pic:cNvPicPr>
                        </pic:nvPicPr>
                        <pic:blipFill>
                          <a:blip r:embed="rId16"/>
                          <a:stretch>
                            <a:fillRect/>
                          </a:stretch>
                        </pic:blipFill>
                        <pic:spPr>
                          <a:xfrm>
                            <a:off x="0" y="0"/>
                            <a:ext cx="2617470" cy="3702050"/>
                          </a:xfrm>
                          <a:prstGeom prst="rect">
                            <a:avLst/>
                          </a:prstGeom>
                        </pic:spPr>
                      </pic:pic>
                    </a:graphicData>
                  </a:graphic>
                </wp:anchor>
              </w:drawing>
            </w:r>
            <w:r>
              <w:rPr>
                <w:rFonts w:hint="default" w:asciiTheme="minorEastAsia" w:hAnsiTheme="minorEastAsia" w:eastAsiaTheme="minorEastAsia" w:cstheme="minorEastAsia"/>
                <w:color w:val="auto"/>
                <w:sz w:val="21"/>
                <w:szCs w:val="21"/>
                <w:lang w:val="en-US" w:eastAsia="zh-CN"/>
              </w:rPr>
              <w:drawing>
                <wp:anchor distT="0" distB="0" distL="114300" distR="114300" simplePos="0" relativeHeight="251670528" behindDoc="0" locked="0" layoutInCell="1" allowOverlap="1">
                  <wp:simplePos x="0" y="0"/>
                  <wp:positionH relativeFrom="column">
                    <wp:posOffset>172085</wp:posOffset>
                  </wp:positionH>
                  <wp:positionV relativeFrom="paragraph">
                    <wp:posOffset>161925</wp:posOffset>
                  </wp:positionV>
                  <wp:extent cx="2605405" cy="3685540"/>
                  <wp:effectExtent l="0" t="0" r="10795" b="10160"/>
                  <wp:wrapNone/>
                  <wp:docPr id="16" name="图片 16" descr="工程验收确认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程验收确认单2"/>
                          <pic:cNvPicPr>
                            <a:picLocks noChangeAspect="1"/>
                          </pic:cNvPicPr>
                        </pic:nvPicPr>
                        <pic:blipFill>
                          <a:blip r:embed="rId17"/>
                          <a:stretch>
                            <a:fillRect/>
                          </a:stretch>
                        </pic:blipFill>
                        <pic:spPr>
                          <a:xfrm>
                            <a:off x="0" y="0"/>
                            <a:ext cx="2605405" cy="3685540"/>
                          </a:xfrm>
                          <a:prstGeom prst="rect">
                            <a:avLst/>
                          </a:prstGeom>
                        </pic:spPr>
                      </pic:pic>
                    </a:graphicData>
                  </a:graphic>
                </wp:anchor>
              </w:drawing>
            </w: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w:t>
            </w: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drawing>
                <wp:inline distT="0" distB="0" distL="114300" distR="114300">
                  <wp:extent cx="5030470" cy="3557270"/>
                  <wp:effectExtent l="0" t="0" r="11430" b="11430"/>
                  <wp:docPr id="17" name="图片 17" descr="决算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决算书"/>
                          <pic:cNvPicPr>
                            <a:picLocks noChangeAspect="1"/>
                          </pic:cNvPicPr>
                        </pic:nvPicPr>
                        <pic:blipFill>
                          <a:blip r:embed="rId18"/>
                          <a:stretch>
                            <a:fillRect/>
                          </a:stretch>
                        </pic:blipFill>
                        <pic:spPr>
                          <a:xfrm>
                            <a:off x="0" y="0"/>
                            <a:ext cx="5030470" cy="3557270"/>
                          </a:xfrm>
                          <a:prstGeom prst="rect">
                            <a:avLst/>
                          </a:prstGeom>
                        </pic:spPr>
                      </pic:pic>
                    </a:graphicData>
                  </a:graphic>
                </wp:inline>
              </w:drawing>
            </w:r>
          </w:p>
          <w:p>
            <w:pPr>
              <w:keepNext w:val="0"/>
              <w:keepLines w:val="0"/>
              <w:suppressLineNumbers w:val="0"/>
              <w:spacing w:before="0" w:beforeAutospacing="0" w:after="0" w:afterAutospacing="0" w:line="360" w:lineRule="auto"/>
              <w:ind w:left="0" w:right="-6" w:rightChars="-3"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经验证后的</w:t>
            </w:r>
            <w:r>
              <w:rPr>
                <w:rFonts w:hint="eastAsia" w:asciiTheme="minorEastAsia" w:hAnsiTheme="minorEastAsia" w:eastAsiaTheme="minorEastAsia" w:cstheme="minorEastAsia"/>
                <w:sz w:val="21"/>
                <w:szCs w:val="21"/>
                <w:lang w:val="en-US" w:eastAsia="zh-CN"/>
              </w:rPr>
              <w:t>服务</w:t>
            </w:r>
            <w:r>
              <w:rPr>
                <w:rFonts w:hint="eastAsia" w:asciiTheme="minorEastAsia" w:hAnsiTheme="minorEastAsia" w:eastAsiaTheme="minorEastAsia" w:cstheme="minorEastAsia"/>
                <w:sz w:val="21"/>
                <w:szCs w:val="21"/>
              </w:rPr>
              <w:t>，由技术人员进行相关全套资料的整理，在整理过程中查看内容是否正确，全套资料整理完成后递交</w:t>
            </w:r>
            <w:r>
              <w:rPr>
                <w:rFonts w:hint="eastAsia" w:asciiTheme="minorEastAsia" w:hAnsiTheme="minorEastAsia" w:eastAsiaTheme="minorEastAsia" w:cstheme="minorEastAsia"/>
                <w:sz w:val="21"/>
                <w:szCs w:val="21"/>
                <w:lang w:val="en-US" w:eastAsia="zh-CN"/>
              </w:rPr>
              <w:t>工程</w:t>
            </w:r>
            <w:r>
              <w:rPr>
                <w:rFonts w:hint="eastAsia" w:asciiTheme="minorEastAsia" w:hAnsiTheme="minorEastAsia" w:eastAsiaTheme="minorEastAsia" w:cstheme="minorEastAsia"/>
                <w:sz w:val="21"/>
                <w:szCs w:val="21"/>
              </w:rPr>
              <w:t>部经理和总经理进行复核，确认无误后才交付。</w:t>
            </w:r>
          </w:p>
          <w:p>
            <w:pPr>
              <w:snapToGrid w:val="0"/>
              <w:spacing w:line="360" w:lineRule="auto"/>
              <w:rPr>
                <w:rFonts w:hint="eastAsia" w:hAnsi="宋体" w:cs="宋体"/>
                <w:kern w:val="0"/>
                <w:sz w:val="21"/>
                <w:szCs w:val="21"/>
                <w:highlight w:val="none"/>
                <w:lang w:val="en-US" w:eastAsia="zh-CN"/>
              </w:rPr>
            </w:pPr>
            <w:r>
              <w:rPr>
                <w:rFonts w:hint="eastAsia" w:asciiTheme="minorEastAsia" w:hAnsiTheme="minorEastAsia" w:eastAsiaTheme="minorEastAsia" w:cstheme="minorEastAsia"/>
                <w:sz w:val="21"/>
                <w:szCs w:val="21"/>
              </w:rPr>
              <w:t>客户验收合格的项目由公司出具报告并备案存档</w:t>
            </w:r>
            <w:r>
              <w:rPr>
                <w:rFonts w:hint="eastAsia" w:asciiTheme="minorEastAsia" w:hAnsiTheme="minorEastAsia" w:eastAsiaTheme="minorEastAsia" w:cstheme="minorEastAsia"/>
                <w:sz w:val="21"/>
                <w:szCs w:val="21"/>
                <w:lang w:val="en-US" w:eastAsia="zh-CN"/>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07" w:type="dxa"/>
            <w:vAlign w:val="top"/>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不合格输出的控制</w:t>
            </w:r>
          </w:p>
        </w:tc>
        <w:tc>
          <w:tcPr>
            <w:tcW w:w="1313" w:type="dxa"/>
            <w:vAlign w:val="top"/>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Q</w:t>
            </w:r>
            <w:r>
              <w:rPr>
                <w:rFonts w:hint="eastAsia" w:ascii="宋体" w:hAnsi="宋体" w:eastAsia="宋体" w:cs="Times New Roman"/>
                <w:color w:val="auto"/>
                <w:sz w:val="21"/>
                <w:szCs w:val="21"/>
              </w:rPr>
              <w:t>8.7</w:t>
            </w:r>
          </w:p>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J</w:t>
            </w:r>
            <w:r>
              <w:rPr>
                <w:rFonts w:hint="eastAsia" w:ascii="宋体" w:hAnsi="宋体" w:eastAsia="宋体" w:cs="Times New Roman"/>
                <w:color w:val="auto"/>
                <w:sz w:val="21"/>
                <w:szCs w:val="21"/>
              </w:rPr>
              <w:t>8.3、8.5、9.4、11.5</w:t>
            </w:r>
          </w:p>
        </w:tc>
        <w:tc>
          <w:tcPr>
            <w:tcW w:w="10004" w:type="dxa"/>
            <w:vAlign w:val="center"/>
          </w:tcPr>
          <w:p>
            <w:pPr>
              <w:spacing w:line="360" w:lineRule="auto"/>
              <w:ind w:firstLine="420" w:firstLineChars="200"/>
              <w:rPr>
                <w:rFonts w:ascii="宋体" w:hAnsi="宋体"/>
                <w:color w:val="auto"/>
                <w:sz w:val="21"/>
                <w:szCs w:val="21"/>
              </w:rPr>
            </w:pPr>
            <w:r>
              <w:rPr>
                <w:rFonts w:hint="eastAsia" w:ascii="宋体" w:hAnsi="宋体"/>
                <w:color w:val="auto"/>
                <w:sz w:val="21"/>
                <w:szCs w:val="21"/>
              </w:rPr>
              <w:t>公司明确各类、各阶段的不合格的控制管控要求，包括输入（来料）阶段、过程监视和测量阶段、输出（出货）阶段的不合格之识别、确定、标识、处置措施等，详见《</w:t>
            </w:r>
            <w:r>
              <w:rPr>
                <w:rFonts w:hint="eastAsia" w:ascii="宋体" w:hAnsi="宋体"/>
                <w:color w:val="auto"/>
                <w:sz w:val="21"/>
                <w:szCs w:val="21"/>
                <w:lang w:eastAsia="zh-CN"/>
              </w:rPr>
              <w:t>不符合控制程序</w:t>
            </w:r>
            <w:r>
              <w:rPr>
                <w:rFonts w:hint="eastAsia" w:ascii="宋体" w:hAnsi="宋体"/>
                <w:color w:val="auto"/>
                <w:sz w:val="21"/>
                <w:szCs w:val="21"/>
              </w:rPr>
              <w:t>》</w:t>
            </w:r>
          </w:p>
          <w:p>
            <w:pPr>
              <w:spacing w:line="360" w:lineRule="auto"/>
              <w:rPr>
                <w:rFonts w:ascii="宋体" w:hAnsi="宋体"/>
                <w:color w:val="auto"/>
                <w:sz w:val="21"/>
                <w:szCs w:val="21"/>
              </w:rPr>
            </w:pPr>
            <w:r>
              <w:rPr>
                <w:rFonts w:hint="eastAsia" w:ascii="宋体" w:hAnsi="宋体"/>
                <w:color w:val="auto"/>
                <w:sz w:val="21"/>
                <w:szCs w:val="21"/>
              </w:rPr>
              <w:t>---公司明确并实施处置不合格输出的处置方式：</w:t>
            </w:r>
          </w:p>
          <w:p>
            <w:pPr>
              <w:pStyle w:val="25"/>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返工：使其达到规定的要求；</w:t>
            </w:r>
          </w:p>
          <w:p>
            <w:pPr>
              <w:pStyle w:val="25"/>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让步接收：来料不合格不影响产品质量；</w:t>
            </w:r>
          </w:p>
          <w:p>
            <w:pPr>
              <w:pStyle w:val="25"/>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特殊放行：生产过程不合格不影响使用功能或客户允许接受；</w:t>
            </w:r>
          </w:p>
          <w:p>
            <w:pPr>
              <w:pStyle w:val="25"/>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调换（重新提供）：选择另一批次；</w:t>
            </w:r>
          </w:p>
          <w:p>
            <w:pPr>
              <w:pStyle w:val="25"/>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拒收或报废：不能使用（直接影响质量）的予以拒收或报废。</w:t>
            </w:r>
          </w:p>
          <w:p>
            <w:pPr>
              <w:spacing w:line="360" w:lineRule="auto"/>
              <w:rPr>
                <w:rFonts w:ascii="宋体" w:hAnsi="宋体"/>
                <w:color w:val="auto"/>
                <w:sz w:val="21"/>
                <w:szCs w:val="21"/>
              </w:rPr>
            </w:pPr>
            <w:r>
              <w:rPr>
                <w:rFonts w:hint="eastAsia" w:ascii="宋体" w:hAnsi="宋体"/>
                <w:color w:val="auto"/>
                <w:sz w:val="21"/>
                <w:szCs w:val="21"/>
              </w:rPr>
              <w:t>---公司明确并实施对适用于纠正的不合格输出，在进行纠正之后须实施再验证。</w:t>
            </w:r>
          </w:p>
          <w:p>
            <w:pPr>
              <w:spacing w:line="360" w:lineRule="auto"/>
              <w:rPr>
                <w:rFonts w:ascii="宋体" w:hAnsi="宋体"/>
                <w:color w:val="auto"/>
                <w:sz w:val="21"/>
                <w:szCs w:val="21"/>
              </w:rPr>
            </w:pPr>
            <w:r>
              <w:rPr>
                <w:rFonts w:hint="eastAsia" w:ascii="宋体" w:hAnsi="宋体"/>
                <w:color w:val="auto"/>
                <w:sz w:val="21"/>
                <w:szCs w:val="21"/>
              </w:rPr>
              <w:t>---公司明确并实施不合格处置后须保留含以下内容的记录</w:t>
            </w:r>
          </w:p>
          <w:p>
            <w:pPr>
              <w:spacing w:line="360" w:lineRule="auto"/>
              <w:ind w:firstLine="420" w:firstLineChars="200"/>
              <w:rPr>
                <w:rFonts w:ascii="宋体" w:hAnsi="宋体"/>
                <w:color w:val="auto"/>
                <w:sz w:val="21"/>
                <w:szCs w:val="21"/>
              </w:rPr>
            </w:pPr>
            <w:r>
              <w:rPr>
                <w:rFonts w:hint="eastAsia" w:ascii="宋体" w:hAnsi="宋体"/>
                <w:color w:val="auto"/>
                <w:sz w:val="21"/>
                <w:szCs w:val="21"/>
              </w:rPr>
              <w:t>a）有关不合格的描述；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b）所采取措施的描述；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c）获得让步的描述；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d）处置不合格的授权标识。</w:t>
            </w:r>
          </w:p>
          <w:p>
            <w:pPr>
              <w:spacing w:line="360" w:lineRule="auto"/>
              <w:rPr>
                <w:rFonts w:ascii="宋体" w:hAnsi="宋体"/>
                <w:color w:val="auto"/>
                <w:sz w:val="21"/>
                <w:szCs w:val="21"/>
              </w:rPr>
            </w:pPr>
            <w:r>
              <w:rPr>
                <w:rFonts w:hint="eastAsia" w:ascii="宋体" w:hAnsi="宋体"/>
                <w:color w:val="auto"/>
                <w:sz w:val="21"/>
                <w:szCs w:val="21"/>
              </w:rPr>
              <w:t>公司编制了《</w:t>
            </w:r>
            <w:r>
              <w:rPr>
                <w:rFonts w:hint="eastAsia" w:ascii="宋体" w:hAnsi="宋体"/>
                <w:color w:val="auto"/>
                <w:sz w:val="21"/>
                <w:szCs w:val="21"/>
                <w:lang w:eastAsia="zh-CN"/>
              </w:rPr>
              <w:t>不符合控制程序</w:t>
            </w:r>
            <w:r>
              <w:rPr>
                <w:rFonts w:hint="eastAsia" w:ascii="宋体" w:hAnsi="宋体"/>
                <w:color w:val="auto"/>
                <w:sz w:val="21"/>
                <w:szCs w:val="21"/>
              </w:rPr>
              <w:t>》，对不合格品的控制及其职责、权限及要求进行了规定。</w:t>
            </w:r>
          </w:p>
          <w:p>
            <w:pPr>
              <w:spacing w:line="360" w:lineRule="auto"/>
              <w:rPr>
                <w:rFonts w:ascii="宋体" w:hAnsi="宋体"/>
                <w:color w:val="auto"/>
                <w:sz w:val="21"/>
                <w:szCs w:val="21"/>
              </w:rPr>
            </w:pPr>
            <w:r>
              <w:rPr>
                <w:rFonts w:hint="eastAsia" w:ascii="宋体" w:hAnsi="宋体"/>
                <w:color w:val="auto"/>
                <w:sz w:val="21"/>
                <w:szCs w:val="21"/>
              </w:rPr>
              <w:t>经查，该公司体系运行以来没发生对不合格品进行让步放行的情况，</w:t>
            </w:r>
          </w:p>
          <w:p>
            <w:pPr>
              <w:keepNext w:val="0"/>
              <w:keepLines w:val="0"/>
              <w:suppressLineNumbers w:val="0"/>
              <w:spacing w:before="0" w:beforeAutospacing="0" w:after="0" w:afterAutospacing="0" w:line="360" w:lineRule="auto"/>
              <w:ind w:left="0" w:right="0" w:firstLine="420" w:firstLineChars="200"/>
              <w:rPr>
                <w:rFonts w:hint="eastAsia" w:asciiTheme="minorEastAsia" w:hAnsiTheme="minorEastAsia" w:eastAsiaTheme="minorEastAsia" w:cstheme="minorEastAsia"/>
                <w:sz w:val="21"/>
                <w:szCs w:val="21"/>
              </w:rPr>
            </w:pPr>
            <w:r>
              <w:rPr>
                <w:rFonts w:hint="eastAsia" w:ascii="宋体" w:hAnsi="宋体"/>
                <w:color w:val="auto"/>
                <w:sz w:val="21"/>
                <w:szCs w:val="21"/>
              </w:rPr>
              <w:t>部门对不合格品的性质、处理的措施及结论的结果进行了记录及保持。</w:t>
            </w:r>
          </w:p>
        </w:tc>
        <w:tc>
          <w:tcPr>
            <w:tcW w:w="1585" w:type="dxa"/>
          </w:tcPr>
          <w:p>
            <w:pPr>
              <w:rPr>
                <w:rFonts w:hint="eastAsia"/>
              </w:rPr>
            </w:pPr>
          </w:p>
        </w:tc>
      </w:tr>
    </w:tbl>
    <w:p>
      <w:r>
        <w:ptab w:relativeTo="margin" w:alignment="center" w:leader="none"/>
      </w:r>
    </w:p>
    <w:p>
      <w:pPr>
        <w:pStyle w:val="13"/>
        <w:rPr>
          <w:rFonts w:hint="eastAsia"/>
        </w:rPr>
      </w:pPr>
      <w:r>
        <w:rPr>
          <w:rFonts w:hint="eastAsia"/>
        </w:rPr>
        <w:t>说明：不符合标注N</w:t>
      </w:r>
    </w:p>
    <w:p>
      <w:pPr>
        <w:rPr>
          <w:rFonts w:hint="eastAsia"/>
        </w:rPr>
      </w:pPr>
    </w:p>
    <w:p>
      <w:pPr>
        <w:pStyle w:val="13"/>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Verdana">
    <w:panose1 w:val="020B0604030504040204"/>
    <w:charset w:val="00"/>
    <w:family w:val="swiss"/>
    <w:pitch w:val="default"/>
    <w:sig w:usb0="A00006FF" w:usb1="4000205B" w:usb2="0000001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13"/>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w:t>
            </w:r>
            <w:r>
              <w:rPr>
                <w:b/>
                <w:sz w:val="24"/>
                <w:szCs w:val="24"/>
              </w:rPr>
              <w:fldChar w:fldCharType="end"/>
            </w:r>
          </w:p>
        </w:sdtContent>
      </w:sdt>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left" w:pos="8910"/>
        <w:tab w:val="left" w:pos="9142"/>
        <w:tab w:val="clear" w:pos="4153"/>
      </w:tabs>
      <w:spacing w:line="320" w:lineRule="exact"/>
      <w:ind w:left="-86" w:leftChars="-41" w:firstLine="810" w:firstLineChars="450"/>
      <w:jc w:val="left"/>
      <w:rPr>
        <w:rStyle w:val="21"/>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2" name="文本框 12"/>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kH4RNgAAAALAQAADwAAAAAAAAABACAAAAAiAAAAZHJzL2Rvd25yZXYu&#10;eG1sUEsBAhQAFAAAAAgAh07iQHv++SfCAQAAeQMAAA4AAAAAAAAAAQAgAAAAJwEAAGRycy9lMm9E&#10;b2MueG1sUEsFBgAAAAAGAAYAWQEAAFsFA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21"/>
        <w:rFonts w:hint="default"/>
      </w:rPr>
      <w:t>北京国标联合认证有限公司</w:t>
    </w:r>
    <w:r>
      <w:rPr>
        <w:rStyle w:val="21"/>
        <w:rFonts w:hint="default"/>
      </w:rPr>
      <w:tab/>
    </w:r>
    <w:r>
      <w:rPr>
        <w:rStyle w:val="21"/>
        <w:rFonts w:hint="default"/>
      </w:rPr>
      <w:tab/>
    </w:r>
    <w:r>
      <w:rPr>
        <w:rStyle w:val="21"/>
        <w:rFonts w:hint="default"/>
      </w:rPr>
      <w:tab/>
    </w:r>
  </w:p>
  <w:p>
    <w:pPr>
      <w:pStyle w:val="14"/>
      <w:pBdr>
        <w:bottom w:val="none" w:color="auto" w:sz="0" w:space="0"/>
      </w:pBdr>
      <w:spacing w:line="320" w:lineRule="exact"/>
      <w:ind w:firstLine="756" w:firstLineChars="400"/>
      <w:jc w:val="left"/>
    </w:pPr>
    <w:r>
      <w:rPr>
        <w:rStyle w:val="21"/>
        <w:rFonts w:hint="default"/>
        <w:w w:val="90"/>
      </w:rPr>
      <w:t>Beijing International Standard united Certification Co.,Ltd.</w:t>
    </w:r>
  </w:p>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EE2403"/>
    <w:multiLevelType w:val="multilevel"/>
    <w:tmpl w:val="5EEE240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2U4Y2Q5MGE2Mzc1MDlkNDVmNzZkYmRlMTYyYjcifQ=="/>
  </w:docVars>
  <w:rsids>
    <w:rsidRoot w:val="00DD4B80"/>
    <w:rsid w:val="0001713F"/>
    <w:rsid w:val="000259AC"/>
    <w:rsid w:val="000B7900"/>
    <w:rsid w:val="000D6436"/>
    <w:rsid w:val="001032CB"/>
    <w:rsid w:val="001538EB"/>
    <w:rsid w:val="001541DA"/>
    <w:rsid w:val="001A2755"/>
    <w:rsid w:val="001D5406"/>
    <w:rsid w:val="001E2BA0"/>
    <w:rsid w:val="00297B6F"/>
    <w:rsid w:val="002D1F1C"/>
    <w:rsid w:val="00376607"/>
    <w:rsid w:val="003852FD"/>
    <w:rsid w:val="00411CE7"/>
    <w:rsid w:val="0044635D"/>
    <w:rsid w:val="00477697"/>
    <w:rsid w:val="004B16A6"/>
    <w:rsid w:val="004E08A4"/>
    <w:rsid w:val="00500C21"/>
    <w:rsid w:val="005E75BA"/>
    <w:rsid w:val="005F58CE"/>
    <w:rsid w:val="006350F0"/>
    <w:rsid w:val="0066443D"/>
    <w:rsid w:val="0068005C"/>
    <w:rsid w:val="006C3B64"/>
    <w:rsid w:val="006E7A70"/>
    <w:rsid w:val="00734419"/>
    <w:rsid w:val="007420C5"/>
    <w:rsid w:val="007536EE"/>
    <w:rsid w:val="007B1A3B"/>
    <w:rsid w:val="007F5845"/>
    <w:rsid w:val="00802252"/>
    <w:rsid w:val="00834B09"/>
    <w:rsid w:val="00893291"/>
    <w:rsid w:val="008E0C8E"/>
    <w:rsid w:val="008E45B6"/>
    <w:rsid w:val="0094266C"/>
    <w:rsid w:val="00954EA8"/>
    <w:rsid w:val="009B7866"/>
    <w:rsid w:val="009C3AF7"/>
    <w:rsid w:val="00A07938"/>
    <w:rsid w:val="00A3276E"/>
    <w:rsid w:val="00AA2D83"/>
    <w:rsid w:val="00AB7281"/>
    <w:rsid w:val="00B01EF6"/>
    <w:rsid w:val="00B325A1"/>
    <w:rsid w:val="00B33B39"/>
    <w:rsid w:val="00BB5BDD"/>
    <w:rsid w:val="00BB6546"/>
    <w:rsid w:val="00BE0E37"/>
    <w:rsid w:val="00BF540D"/>
    <w:rsid w:val="00C23315"/>
    <w:rsid w:val="00C343F0"/>
    <w:rsid w:val="00C45B28"/>
    <w:rsid w:val="00CB6525"/>
    <w:rsid w:val="00D5752A"/>
    <w:rsid w:val="00DD4B80"/>
    <w:rsid w:val="00E113F1"/>
    <w:rsid w:val="00E238F5"/>
    <w:rsid w:val="00E345F7"/>
    <w:rsid w:val="00E412FC"/>
    <w:rsid w:val="00E5540F"/>
    <w:rsid w:val="00EF3EBB"/>
    <w:rsid w:val="00F13AB9"/>
    <w:rsid w:val="00F60F0B"/>
    <w:rsid w:val="00F66D86"/>
    <w:rsid w:val="00F67463"/>
    <w:rsid w:val="00F922A5"/>
    <w:rsid w:val="00FB75CB"/>
    <w:rsid w:val="00FD12F5"/>
    <w:rsid w:val="00FD6519"/>
    <w:rsid w:val="010A11BF"/>
    <w:rsid w:val="01304109"/>
    <w:rsid w:val="02FD3C5D"/>
    <w:rsid w:val="0358271A"/>
    <w:rsid w:val="03705B95"/>
    <w:rsid w:val="03CD76A8"/>
    <w:rsid w:val="04892300"/>
    <w:rsid w:val="049145A4"/>
    <w:rsid w:val="04F3757C"/>
    <w:rsid w:val="05C27E71"/>
    <w:rsid w:val="05F821C1"/>
    <w:rsid w:val="067C699F"/>
    <w:rsid w:val="07BB1345"/>
    <w:rsid w:val="07C902D0"/>
    <w:rsid w:val="0813265E"/>
    <w:rsid w:val="08555398"/>
    <w:rsid w:val="08CE13B5"/>
    <w:rsid w:val="08DC34E6"/>
    <w:rsid w:val="090E5D15"/>
    <w:rsid w:val="098576D0"/>
    <w:rsid w:val="09A004A0"/>
    <w:rsid w:val="09D66353"/>
    <w:rsid w:val="0AC57974"/>
    <w:rsid w:val="0B2B1110"/>
    <w:rsid w:val="0DDD492F"/>
    <w:rsid w:val="0DED2B38"/>
    <w:rsid w:val="0DEF2265"/>
    <w:rsid w:val="0E55344A"/>
    <w:rsid w:val="0E6B3ADE"/>
    <w:rsid w:val="0E773D43"/>
    <w:rsid w:val="0E873F41"/>
    <w:rsid w:val="0EFA2C7C"/>
    <w:rsid w:val="0F3C1D64"/>
    <w:rsid w:val="0F446BB8"/>
    <w:rsid w:val="0F711E78"/>
    <w:rsid w:val="0FD27054"/>
    <w:rsid w:val="0FEC77A2"/>
    <w:rsid w:val="10807825"/>
    <w:rsid w:val="1093370C"/>
    <w:rsid w:val="10FC7069"/>
    <w:rsid w:val="10FE1E26"/>
    <w:rsid w:val="11191B99"/>
    <w:rsid w:val="11486339"/>
    <w:rsid w:val="115D0060"/>
    <w:rsid w:val="1178793D"/>
    <w:rsid w:val="1220104F"/>
    <w:rsid w:val="128064A8"/>
    <w:rsid w:val="129B7938"/>
    <w:rsid w:val="12C633EC"/>
    <w:rsid w:val="13484B18"/>
    <w:rsid w:val="13545603"/>
    <w:rsid w:val="13882863"/>
    <w:rsid w:val="13AE0697"/>
    <w:rsid w:val="13D35327"/>
    <w:rsid w:val="144C003C"/>
    <w:rsid w:val="145B4749"/>
    <w:rsid w:val="147139DD"/>
    <w:rsid w:val="150C08A1"/>
    <w:rsid w:val="15452B6C"/>
    <w:rsid w:val="15A57A90"/>
    <w:rsid w:val="15E2796E"/>
    <w:rsid w:val="15EA512F"/>
    <w:rsid w:val="16A34FB2"/>
    <w:rsid w:val="17261E13"/>
    <w:rsid w:val="18263A39"/>
    <w:rsid w:val="18537335"/>
    <w:rsid w:val="193A6353"/>
    <w:rsid w:val="199425EB"/>
    <w:rsid w:val="19AE679E"/>
    <w:rsid w:val="1A837D2F"/>
    <w:rsid w:val="1B7B258D"/>
    <w:rsid w:val="1B84458B"/>
    <w:rsid w:val="1BD856D0"/>
    <w:rsid w:val="1C181388"/>
    <w:rsid w:val="1C503D2C"/>
    <w:rsid w:val="1CD4402D"/>
    <w:rsid w:val="1D1E5216"/>
    <w:rsid w:val="1D5C6FE6"/>
    <w:rsid w:val="1E52424C"/>
    <w:rsid w:val="1EBA7B7A"/>
    <w:rsid w:val="20955F13"/>
    <w:rsid w:val="21BB3B30"/>
    <w:rsid w:val="21F54A5D"/>
    <w:rsid w:val="22237ABD"/>
    <w:rsid w:val="22A163D5"/>
    <w:rsid w:val="22AA599E"/>
    <w:rsid w:val="22AC427D"/>
    <w:rsid w:val="22AD0462"/>
    <w:rsid w:val="233D7329"/>
    <w:rsid w:val="23591F63"/>
    <w:rsid w:val="236478D2"/>
    <w:rsid w:val="236B2397"/>
    <w:rsid w:val="23D22493"/>
    <w:rsid w:val="23E55F98"/>
    <w:rsid w:val="249547D7"/>
    <w:rsid w:val="24C52E05"/>
    <w:rsid w:val="2540656B"/>
    <w:rsid w:val="25846127"/>
    <w:rsid w:val="264C5E94"/>
    <w:rsid w:val="265550AC"/>
    <w:rsid w:val="26637E3F"/>
    <w:rsid w:val="26935ECE"/>
    <w:rsid w:val="2707671E"/>
    <w:rsid w:val="276C6377"/>
    <w:rsid w:val="27A80535"/>
    <w:rsid w:val="27D31648"/>
    <w:rsid w:val="280D3DB5"/>
    <w:rsid w:val="286A2476"/>
    <w:rsid w:val="28C134B5"/>
    <w:rsid w:val="292F5FEC"/>
    <w:rsid w:val="295A0EA6"/>
    <w:rsid w:val="297656A6"/>
    <w:rsid w:val="29C33C02"/>
    <w:rsid w:val="2A3A3EC1"/>
    <w:rsid w:val="2A635B96"/>
    <w:rsid w:val="2ADB74D7"/>
    <w:rsid w:val="2B351060"/>
    <w:rsid w:val="2B7B4E18"/>
    <w:rsid w:val="2BA764A9"/>
    <w:rsid w:val="2C6314AC"/>
    <w:rsid w:val="2C8144CD"/>
    <w:rsid w:val="2CF82669"/>
    <w:rsid w:val="2DA830D9"/>
    <w:rsid w:val="2DB43D9E"/>
    <w:rsid w:val="2DC2405E"/>
    <w:rsid w:val="2E9E735A"/>
    <w:rsid w:val="2EB43EF7"/>
    <w:rsid w:val="2EF31F27"/>
    <w:rsid w:val="2F257D41"/>
    <w:rsid w:val="2FC36B68"/>
    <w:rsid w:val="30310A87"/>
    <w:rsid w:val="30560633"/>
    <w:rsid w:val="30C72393"/>
    <w:rsid w:val="30E36CD9"/>
    <w:rsid w:val="31782699"/>
    <w:rsid w:val="31A310B3"/>
    <w:rsid w:val="33226E62"/>
    <w:rsid w:val="33964A07"/>
    <w:rsid w:val="3402227D"/>
    <w:rsid w:val="343247FF"/>
    <w:rsid w:val="348C1708"/>
    <w:rsid w:val="34F506F2"/>
    <w:rsid w:val="35BA606F"/>
    <w:rsid w:val="35F96CAA"/>
    <w:rsid w:val="360C5856"/>
    <w:rsid w:val="362D58B4"/>
    <w:rsid w:val="36861C2F"/>
    <w:rsid w:val="36A05FA1"/>
    <w:rsid w:val="36E05C97"/>
    <w:rsid w:val="38674CA1"/>
    <w:rsid w:val="38946726"/>
    <w:rsid w:val="38CF010C"/>
    <w:rsid w:val="38FA5B29"/>
    <w:rsid w:val="394A040F"/>
    <w:rsid w:val="39882D60"/>
    <w:rsid w:val="3A0C487C"/>
    <w:rsid w:val="3ABC3105"/>
    <w:rsid w:val="3B00217F"/>
    <w:rsid w:val="3B5D2A45"/>
    <w:rsid w:val="3B911005"/>
    <w:rsid w:val="3BE57209"/>
    <w:rsid w:val="3C440D19"/>
    <w:rsid w:val="3C504D4B"/>
    <w:rsid w:val="3C9E1151"/>
    <w:rsid w:val="3D1B585D"/>
    <w:rsid w:val="3D242292"/>
    <w:rsid w:val="3D5C4FEC"/>
    <w:rsid w:val="3DE9530E"/>
    <w:rsid w:val="3E256747"/>
    <w:rsid w:val="3E660AD6"/>
    <w:rsid w:val="3EB403E8"/>
    <w:rsid w:val="3EB52881"/>
    <w:rsid w:val="3F266A30"/>
    <w:rsid w:val="3F6F23DD"/>
    <w:rsid w:val="400C55F1"/>
    <w:rsid w:val="407A23BB"/>
    <w:rsid w:val="414E41D7"/>
    <w:rsid w:val="41594397"/>
    <w:rsid w:val="418035D9"/>
    <w:rsid w:val="41BB1456"/>
    <w:rsid w:val="41E812B4"/>
    <w:rsid w:val="42CA4E41"/>
    <w:rsid w:val="42CC38B0"/>
    <w:rsid w:val="42D074F7"/>
    <w:rsid w:val="42FC4513"/>
    <w:rsid w:val="436B03B4"/>
    <w:rsid w:val="43995A8F"/>
    <w:rsid w:val="43BF209B"/>
    <w:rsid w:val="440F1DC4"/>
    <w:rsid w:val="453A481E"/>
    <w:rsid w:val="4580257A"/>
    <w:rsid w:val="458A7495"/>
    <w:rsid w:val="45D72591"/>
    <w:rsid w:val="45F57F6B"/>
    <w:rsid w:val="46561E53"/>
    <w:rsid w:val="46570418"/>
    <w:rsid w:val="46774F5A"/>
    <w:rsid w:val="46B300A5"/>
    <w:rsid w:val="46B90406"/>
    <w:rsid w:val="46C930AA"/>
    <w:rsid w:val="46E701CA"/>
    <w:rsid w:val="472C5F99"/>
    <w:rsid w:val="478E2F70"/>
    <w:rsid w:val="47972F66"/>
    <w:rsid w:val="47C17EA2"/>
    <w:rsid w:val="48850B8B"/>
    <w:rsid w:val="48F006B7"/>
    <w:rsid w:val="49423413"/>
    <w:rsid w:val="49424B1C"/>
    <w:rsid w:val="49AA1621"/>
    <w:rsid w:val="4A43488C"/>
    <w:rsid w:val="4A551A01"/>
    <w:rsid w:val="4AFD070E"/>
    <w:rsid w:val="4B493B54"/>
    <w:rsid w:val="4C0F4361"/>
    <w:rsid w:val="4C612065"/>
    <w:rsid w:val="4CC06AA5"/>
    <w:rsid w:val="4CC205DC"/>
    <w:rsid w:val="4CE01DB7"/>
    <w:rsid w:val="4D0737A5"/>
    <w:rsid w:val="4D277EA4"/>
    <w:rsid w:val="4D487502"/>
    <w:rsid w:val="4DF55447"/>
    <w:rsid w:val="4E233D62"/>
    <w:rsid w:val="4E9845E6"/>
    <w:rsid w:val="4EF40F32"/>
    <w:rsid w:val="4F0E76AD"/>
    <w:rsid w:val="4F477F24"/>
    <w:rsid w:val="4F7B4A3A"/>
    <w:rsid w:val="4FD635DB"/>
    <w:rsid w:val="50551558"/>
    <w:rsid w:val="50AD135C"/>
    <w:rsid w:val="50EA1CDA"/>
    <w:rsid w:val="515147E0"/>
    <w:rsid w:val="515537FE"/>
    <w:rsid w:val="51743E40"/>
    <w:rsid w:val="520244B9"/>
    <w:rsid w:val="52CD303A"/>
    <w:rsid w:val="52F732A5"/>
    <w:rsid w:val="534F35D0"/>
    <w:rsid w:val="538C3E49"/>
    <w:rsid w:val="53BD42D5"/>
    <w:rsid w:val="53F254B5"/>
    <w:rsid w:val="544F369E"/>
    <w:rsid w:val="547370C6"/>
    <w:rsid w:val="54754936"/>
    <w:rsid w:val="54A01E6D"/>
    <w:rsid w:val="551C6A7C"/>
    <w:rsid w:val="554E2044"/>
    <w:rsid w:val="55D017E1"/>
    <w:rsid w:val="55D54B44"/>
    <w:rsid w:val="56123E84"/>
    <w:rsid w:val="56E5086E"/>
    <w:rsid w:val="570F6398"/>
    <w:rsid w:val="57297D57"/>
    <w:rsid w:val="576D7AB2"/>
    <w:rsid w:val="581B64FA"/>
    <w:rsid w:val="58831853"/>
    <w:rsid w:val="58BD2CCA"/>
    <w:rsid w:val="58D734BB"/>
    <w:rsid w:val="590A2D30"/>
    <w:rsid w:val="59837DDA"/>
    <w:rsid w:val="598840E7"/>
    <w:rsid w:val="59C86E83"/>
    <w:rsid w:val="5A264CB6"/>
    <w:rsid w:val="5A7F66C0"/>
    <w:rsid w:val="5AA56731"/>
    <w:rsid w:val="5AE96334"/>
    <w:rsid w:val="5B566DD5"/>
    <w:rsid w:val="5B5E5B95"/>
    <w:rsid w:val="5B6D261C"/>
    <w:rsid w:val="5B765E19"/>
    <w:rsid w:val="5BA92E00"/>
    <w:rsid w:val="5BB11B25"/>
    <w:rsid w:val="5BD056AC"/>
    <w:rsid w:val="5BE43EE2"/>
    <w:rsid w:val="5BEA2AB8"/>
    <w:rsid w:val="5C3761DC"/>
    <w:rsid w:val="5C3B260D"/>
    <w:rsid w:val="5D4D3792"/>
    <w:rsid w:val="5D75156A"/>
    <w:rsid w:val="5DBA6A41"/>
    <w:rsid w:val="5EE17D6C"/>
    <w:rsid w:val="5F03245D"/>
    <w:rsid w:val="5F336DA5"/>
    <w:rsid w:val="5F47341F"/>
    <w:rsid w:val="5FD4404B"/>
    <w:rsid w:val="6008644D"/>
    <w:rsid w:val="60CD5BAF"/>
    <w:rsid w:val="60F57DB5"/>
    <w:rsid w:val="610E3361"/>
    <w:rsid w:val="6133439E"/>
    <w:rsid w:val="615D1AB0"/>
    <w:rsid w:val="617500C1"/>
    <w:rsid w:val="61BE26FF"/>
    <w:rsid w:val="61FE2979"/>
    <w:rsid w:val="6243600E"/>
    <w:rsid w:val="62BF5F83"/>
    <w:rsid w:val="632378C8"/>
    <w:rsid w:val="6366472B"/>
    <w:rsid w:val="63896AAB"/>
    <w:rsid w:val="63F7207D"/>
    <w:rsid w:val="63F97459"/>
    <w:rsid w:val="6471711F"/>
    <w:rsid w:val="64866EAE"/>
    <w:rsid w:val="648B3FB8"/>
    <w:rsid w:val="652546CA"/>
    <w:rsid w:val="655D66DC"/>
    <w:rsid w:val="65793194"/>
    <w:rsid w:val="6649052C"/>
    <w:rsid w:val="66AD5CCF"/>
    <w:rsid w:val="6736736E"/>
    <w:rsid w:val="67F977CC"/>
    <w:rsid w:val="687D5258"/>
    <w:rsid w:val="688144D0"/>
    <w:rsid w:val="68E15D72"/>
    <w:rsid w:val="697A2F27"/>
    <w:rsid w:val="697F13C6"/>
    <w:rsid w:val="69DF2FA3"/>
    <w:rsid w:val="6A03260D"/>
    <w:rsid w:val="6AAE248D"/>
    <w:rsid w:val="6B344F15"/>
    <w:rsid w:val="6B496264"/>
    <w:rsid w:val="6B59252A"/>
    <w:rsid w:val="6BEB0C6B"/>
    <w:rsid w:val="6C410583"/>
    <w:rsid w:val="6C53185F"/>
    <w:rsid w:val="6C5517F8"/>
    <w:rsid w:val="6CDA5CC1"/>
    <w:rsid w:val="6D3946F3"/>
    <w:rsid w:val="6D517C23"/>
    <w:rsid w:val="6E973995"/>
    <w:rsid w:val="6F5C5F71"/>
    <w:rsid w:val="6FD13025"/>
    <w:rsid w:val="6FE52CEE"/>
    <w:rsid w:val="70646E95"/>
    <w:rsid w:val="709F213C"/>
    <w:rsid w:val="713C1464"/>
    <w:rsid w:val="715C7359"/>
    <w:rsid w:val="717A1220"/>
    <w:rsid w:val="71832A46"/>
    <w:rsid w:val="71E10BA9"/>
    <w:rsid w:val="72255A4C"/>
    <w:rsid w:val="725C175D"/>
    <w:rsid w:val="7265409A"/>
    <w:rsid w:val="727C16FF"/>
    <w:rsid w:val="72BB440D"/>
    <w:rsid w:val="72F17470"/>
    <w:rsid w:val="738E3EC2"/>
    <w:rsid w:val="73BD4784"/>
    <w:rsid w:val="749A13DF"/>
    <w:rsid w:val="74D96F99"/>
    <w:rsid w:val="755B0C90"/>
    <w:rsid w:val="761F1329"/>
    <w:rsid w:val="762B5068"/>
    <w:rsid w:val="768B1820"/>
    <w:rsid w:val="76986104"/>
    <w:rsid w:val="77096523"/>
    <w:rsid w:val="773639AE"/>
    <w:rsid w:val="77724FF6"/>
    <w:rsid w:val="77810AA3"/>
    <w:rsid w:val="77CB5783"/>
    <w:rsid w:val="77E7719B"/>
    <w:rsid w:val="784F5A1A"/>
    <w:rsid w:val="78795B26"/>
    <w:rsid w:val="796214DF"/>
    <w:rsid w:val="79666F56"/>
    <w:rsid w:val="79717A20"/>
    <w:rsid w:val="79A448B7"/>
    <w:rsid w:val="7A067429"/>
    <w:rsid w:val="7B3A4A90"/>
    <w:rsid w:val="7BA7005A"/>
    <w:rsid w:val="7C0C6300"/>
    <w:rsid w:val="7C3F7DA6"/>
    <w:rsid w:val="7C592391"/>
    <w:rsid w:val="7C8479B1"/>
    <w:rsid w:val="7D2D4FAC"/>
    <w:rsid w:val="7E355215"/>
    <w:rsid w:val="7E9A65DB"/>
    <w:rsid w:val="7EE31489"/>
    <w:rsid w:val="7EEB3EAF"/>
    <w:rsid w:val="7F333E41"/>
    <w:rsid w:val="7F9D431D"/>
    <w:rsid w:val="7FFB74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99"/>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w:basedOn w:val="1"/>
    <w:next w:val="6"/>
    <w:unhideWhenUsed/>
    <w:qFormat/>
    <w:uiPriority w:val="99"/>
    <w:pPr>
      <w:spacing w:line="420" w:lineRule="exact"/>
    </w:pPr>
    <w:rPr>
      <w:sz w:val="24"/>
    </w:rPr>
  </w:style>
  <w:style w:type="paragraph" w:customStyle="1" w:styleId="6">
    <w:name w:val="一级条标题"/>
    <w:basedOn w:val="7"/>
    <w:next w:val="8"/>
    <w:qFormat/>
    <w:uiPriority w:val="0"/>
    <w:pPr>
      <w:spacing w:line="240" w:lineRule="auto"/>
      <w:ind w:left="420"/>
      <w:outlineLvl w:val="2"/>
    </w:pPr>
  </w:style>
  <w:style w:type="paragraph" w:customStyle="1" w:styleId="7">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8">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9">
    <w:name w:val="Body Text Indent"/>
    <w:basedOn w:val="1"/>
    <w:next w:val="10"/>
    <w:link w:val="24"/>
    <w:qFormat/>
    <w:uiPriority w:val="0"/>
    <w:pPr>
      <w:ind w:left="360"/>
    </w:pPr>
    <w:rPr>
      <w:rFonts w:ascii="宋体"/>
      <w:sz w:val="20"/>
    </w:rPr>
  </w:style>
  <w:style w:type="paragraph" w:styleId="10">
    <w:name w:val="envelope return"/>
    <w:basedOn w:val="1"/>
    <w:qFormat/>
    <w:uiPriority w:val="0"/>
    <w:pPr>
      <w:snapToGrid w:val="0"/>
    </w:pPr>
    <w:rPr>
      <w:rFonts w:ascii="Arial" w:hAnsi="Arial"/>
    </w:rPr>
  </w:style>
  <w:style w:type="paragraph" w:styleId="11">
    <w:name w:val="Plain Text"/>
    <w:basedOn w:val="1"/>
    <w:qFormat/>
    <w:uiPriority w:val="0"/>
    <w:rPr>
      <w:rFonts w:ascii="宋体" w:hAnsi="Courier New" w:cs="Courier New"/>
      <w:szCs w:val="21"/>
    </w:rPr>
  </w:style>
  <w:style w:type="paragraph" w:styleId="12">
    <w:name w:val="Balloon Text"/>
    <w:basedOn w:val="1"/>
    <w:link w:val="20"/>
    <w:semiHidden/>
    <w:unhideWhenUsed/>
    <w:qFormat/>
    <w:uiPriority w:val="99"/>
    <w:rPr>
      <w:sz w:val="18"/>
      <w:szCs w:val="18"/>
    </w:rPr>
  </w:style>
  <w:style w:type="paragraph" w:styleId="13">
    <w:name w:val="footer"/>
    <w:basedOn w:val="1"/>
    <w:link w:val="19"/>
    <w:unhideWhenUsed/>
    <w:qFormat/>
    <w:uiPriority w:val="99"/>
    <w:pPr>
      <w:tabs>
        <w:tab w:val="center" w:pos="4153"/>
        <w:tab w:val="right" w:pos="8306"/>
      </w:tabs>
      <w:snapToGrid w:val="0"/>
      <w:jc w:val="left"/>
    </w:pPr>
    <w:rPr>
      <w:sz w:val="18"/>
      <w:szCs w:val="18"/>
    </w:rPr>
  </w:style>
  <w:style w:type="paragraph" w:styleId="14">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2"/>
    <w:basedOn w:val="9"/>
    <w:qFormat/>
    <w:uiPriority w:val="0"/>
    <w:pPr>
      <w:ind w:left="420" w:firstLine="420" w:firstLineChars="200"/>
    </w:pPr>
  </w:style>
  <w:style w:type="character" w:customStyle="1" w:styleId="18">
    <w:name w:val="页眉 字符"/>
    <w:basedOn w:val="17"/>
    <w:link w:val="14"/>
    <w:qFormat/>
    <w:uiPriority w:val="99"/>
    <w:rPr>
      <w:rFonts w:ascii="Times New Roman" w:hAnsi="Times New Roman" w:eastAsia="宋体" w:cs="Times New Roman"/>
      <w:sz w:val="18"/>
      <w:szCs w:val="18"/>
    </w:rPr>
  </w:style>
  <w:style w:type="character" w:customStyle="1" w:styleId="19">
    <w:name w:val="页脚 字符"/>
    <w:basedOn w:val="17"/>
    <w:link w:val="13"/>
    <w:qFormat/>
    <w:uiPriority w:val="99"/>
    <w:rPr>
      <w:rFonts w:ascii="Times New Roman" w:hAnsi="Times New Roman" w:eastAsia="宋体" w:cs="Times New Roman"/>
      <w:sz w:val="18"/>
      <w:szCs w:val="18"/>
    </w:rPr>
  </w:style>
  <w:style w:type="character" w:customStyle="1" w:styleId="20">
    <w:name w:val="批注框文本 字符"/>
    <w:basedOn w:val="17"/>
    <w:link w:val="12"/>
    <w:semiHidden/>
    <w:qFormat/>
    <w:uiPriority w:val="99"/>
    <w:rPr>
      <w:rFonts w:ascii="Times New Roman" w:hAnsi="Times New Roman" w:eastAsia="宋体" w:cs="Times New Roman"/>
      <w:sz w:val="18"/>
      <w:szCs w:val="18"/>
    </w:rPr>
  </w:style>
  <w:style w:type="character" w:customStyle="1" w:styleId="21">
    <w:name w:val="Char Char1"/>
    <w:qFormat/>
    <w:locked/>
    <w:uiPriority w:val="0"/>
    <w:rPr>
      <w:rFonts w:hint="eastAsia" w:ascii="宋体" w:hAnsi="Courier New" w:eastAsia="宋体"/>
      <w:kern w:val="2"/>
      <w:sz w:val="21"/>
      <w:lang w:val="en-US" w:eastAsia="zh-CN" w:bidi="ar-SA"/>
    </w:rPr>
  </w:style>
  <w:style w:type="paragraph" w:customStyle="1" w:styleId="22">
    <w:name w:val="_Style 2"/>
    <w:basedOn w:val="1"/>
    <w:qFormat/>
    <w:uiPriority w:val="34"/>
    <w:pPr>
      <w:ind w:firstLine="420" w:firstLineChars="200"/>
    </w:pPr>
    <w:rPr>
      <w:rFonts w:ascii="Calibri" w:hAnsi="Calibri"/>
      <w:sz w:val="24"/>
      <w:szCs w:val="22"/>
    </w:rPr>
  </w:style>
  <w:style w:type="paragraph" w:customStyle="1" w:styleId="23">
    <w:name w:val="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24">
    <w:name w:val="正文文本缩进 字符"/>
    <w:basedOn w:val="17"/>
    <w:link w:val="9"/>
    <w:qFormat/>
    <w:uiPriority w:val="0"/>
    <w:rPr>
      <w:rFonts w:ascii="宋体" w:hAnsi="Times New Roman" w:eastAsia="宋体" w:cs="Times New Roman"/>
      <w:kern w:val="2"/>
    </w:rPr>
  </w:style>
  <w:style w:type="paragraph" w:styleId="2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6055</Words>
  <Characters>6720</Characters>
  <Lines>34</Lines>
  <Paragraphs>9</Paragraphs>
  <TotalTime>12</TotalTime>
  <ScaleCrop>false</ScaleCrop>
  <LinksUpToDate>false</LinksUpToDate>
  <CharactersWithSpaces>6861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2020-10-03T03:40:00Z</dcterms:created>
  <dc:creator>微软用户</dc:creator>
  <cp:lastModifiedBy>LIL</cp:lastModifiedBy>
  <dcterms:modified xsi:type="dcterms:W3CDTF">2022-05-26T07:14:40Z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289DF8113FFC407EA9683C9E1166B5A2</vt:lpwstr>
  </property>
</Properties>
</file>