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0613-2021-EnMs-2022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沙洋弘润建材有限公司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沙洋弘润建材有限公司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沙洋县沙洋镇洪岭大道2幢</w:t>
            </w:r>
            <w:bookmarkEnd w:id="6"/>
          </w:p>
        </w:tc>
        <w:tc>
          <w:tcPr>
            <w:tcW w:w="1242" w:type="dxa"/>
            <w:vMerge w:val="restart"/>
            <w:vAlign w:val="center"/>
          </w:tcPr>
          <w:p>
            <w:r>
              <w:rPr>
                <w:rFonts w:hint="eastAsia"/>
              </w:rPr>
              <w:t>邮编</w:t>
            </w:r>
          </w:p>
        </w:tc>
        <w:tc>
          <w:tcPr>
            <w:tcW w:w="1771" w:type="dxa"/>
          </w:tcPr>
          <w:p>
            <w:bookmarkStart w:id="7" w:name="注册邮编"/>
            <w:r>
              <w:t>448200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沙洋县沙洋镇洪岭大道2幢/沙洋经济开发区工业七路</w:t>
            </w:r>
            <w:bookmarkEnd w:id="8"/>
          </w:p>
        </w:tc>
        <w:tc>
          <w:tcPr>
            <w:tcW w:w="1242" w:type="dxa"/>
            <w:vMerge w:val="continue"/>
            <w:vAlign w:val="center"/>
          </w:tcPr>
          <w:p/>
        </w:tc>
        <w:tc>
          <w:tcPr>
            <w:tcW w:w="1771" w:type="dxa"/>
          </w:tcPr>
          <w:p>
            <w:bookmarkStart w:id="9" w:name="办公邮编"/>
            <w:r>
              <w:t>448200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章平</w:t>
            </w:r>
            <w:bookmarkEnd w:id="10"/>
          </w:p>
        </w:tc>
        <w:tc>
          <w:tcPr>
            <w:tcW w:w="1313" w:type="dxa"/>
            <w:vAlign w:val="center"/>
          </w:tcPr>
          <w:p>
            <w:r>
              <w:rPr>
                <w:rFonts w:hint="eastAsia"/>
              </w:rPr>
              <w:t>电话.</w:t>
            </w:r>
          </w:p>
        </w:tc>
        <w:tc>
          <w:tcPr>
            <w:tcW w:w="2180" w:type="dxa"/>
            <w:vAlign w:val="center"/>
          </w:tcPr>
          <w:p>
            <w:bookmarkStart w:id="11" w:name="联系人电话"/>
            <w:r>
              <w:t>15071968325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王卫平</w:t>
            </w:r>
            <w:bookmarkEnd w:id="13"/>
          </w:p>
        </w:tc>
        <w:tc>
          <w:tcPr>
            <w:tcW w:w="1313" w:type="dxa"/>
            <w:vAlign w:val="center"/>
          </w:tcPr>
          <w:p>
            <w:r>
              <w:rPr>
                <w:rFonts w:hint="eastAsia"/>
              </w:rPr>
              <w:t>管理者代表</w:t>
            </w:r>
          </w:p>
        </w:tc>
        <w:tc>
          <w:tcPr>
            <w:tcW w:w="2180" w:type="dxa"/>
          </w:tcPr>
          <w:p>
            <w:bookmarkStart w:id="14" w:name="管理者代表"/>
            <w:r>
              <w:t>王泽银</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lang w:eastAsia="zh-CN"/>
              </w:rPr>
              <w:t>☑</w:t>
            </w:r>
            <w:r>
              <w:rPr>
                <w:rFonts w:hint="eastAsia"/>
              </w:rPr>
              <w:t>三班□其他</w:t>
            </w:r>
          </w:p>
          <w:p>
            <w:r>
              <w:rPr>
                <w:rFonts w:hint="eastAsia"/>
                <w:highlight w:val="cyan"/>
              </w:rPr>
              <w:t>（</w:t>
            </w:r>
            <w:r>
              <w:rPr>
                <w:rFonts w:hint="eastAsia"/>
                <w:highlight w:val="cyan"/>
                <w:lang w:val="en-US" w:eastAsia="zh-CN"/>
              </w:rPr>
              <w:t>早班8:00-16:00、中班16:00-24:00、夜班24:00-8:00</w:t>
            </w:r>
            <w:r>
              <w:rPr>
                <w:rFonts w:hint="eastAsia"/>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anchor distT="0" distB="0" distL="114300" distR="114300" simplePos="0" relativeHeight="251661312" behindDoc="0" locked="0" layoutInCell="1" allowOverlap="1">
                  <wp:simplePos x="0" y="0"/>
                  <wp:positionH relativeFrom="column">
                    <wp:posOffset>67945</wp:posOffset>
                  </wp:positionH>
                  <wp:positionV relativeFrom="paragraph">
                    <wp:posOffset>71755</wp:posOffset>
                  </wp:positionV>
                  <wp:extent cx="5146040" cy="2319020"/>
                  <wp:effectExtent l="0" t="0" r="10160" b="508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146040" cy="2319020"/>
                          </a:xfrm>
                          <a:prstGeom prst="rect">
                            <a:avLst/>
                          </a:prstGeom>
                          <a:noFill/>
                          <a:ln>
                            <a:noFill/>
                          </a:ln>
                        </pic:spPr>
                      </pic:pic>
                    </a:graphicData>
                  </a:graphic>
                </wp:anchor>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2022年05月13日 下午至2022年05月14日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pPr>
              <w:rPr>
                <w:rFonts w:hint="eastAsia" w:eastAsia="宋体" w:cs="Times New Roman"/>
                <w:b w:val="0"/>
                <w:bCs/>
                <w:sz w:val="20"/>
                <w:lang w:val="en-US" w:eastAsia="zh-CN"/>
              </w:rPr>
            </w:pPr>
            <w:r>
              <w:rPr>
                <w:rFonts w:hint="eastAsia"/>
                <w:lang w:val="de-DE" w:eastAsia="zh-CN"/>
              </w:rPr>
              <w:t>☑</w:t>
            </w:r>
            <w:r>
              <w:rPr>
                <w:rFonts w:hint="eastAsia" w:eastAsia="宋体" w:cs="Times New Roman"/>
                <w:b w:val="0"/>
                <w:bCs/>
                <w:sz w:val="20"/>
                <w:lang w:val="en-US" w:eastAsia="zh-CN"/>
              </w:rPr>
              <w:t>RB/T111-2014《能源管理体系 玻璃行业认证要求》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沙洋县沙洋镇洪岭大道2幢</w:t>
            </w:r>
            <w:r>
              <w:rPr>
                <w:rFonts w:hint="eastAsia"/>
                <w:lang w:eastAsia="zh-CN"/>
              </w:rPr>
              <w:t>（</w:t>
            </w:r>
            <w:r>
              <w:rPr>
                <w:rFonts w:hint="eastAsia"/>
                <w:lang w:val="en-US" w:eastAsia="zh-CN"/>
              </w:rPr>
              <w:t>远程：广东省深圳市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tc>
        <w:tc>
          <w:tcPr>
            <w:tcW w:w="4616" w:type="dxa"/>
            <w:gridSpan w:val="2"/>
            <w:vMerge w:val="restart"/>
            <w:vAlign w:val="center"/>
          </w:tcPr>
          <w:p>
            <w:pPr>
              <w:rPr>
                <w:rFonts w:hint="default" w:eastAsia="宋体"/>
                <w:lang w:val="en-US" w:eastAsia="zh-CN"/>
              </w:rPr>
            </w:pPr>
            <w:bookmarkStart w:id="29" w:name="审核范围"/>
            <w:r>
              <w:t>平板玻璃的生产及销售</w:t>
            </w:r>
            <w:bookmarkEnd w:id="29"/>
            <w:r>
              <w:rPr>
                <w:rFonts w:hint="eastAsia"/>
                <w:lang w:val="en-US" w:eastAsia="zh-CN"/>
              </w:rPr>
              <w:t>所涉及的能源管理活动；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ascii="宋体" w:hAnsi="宋体"/>
                <w:b/>
                <w:color w:val="000000" w:themeColor="text1"/>
                <w:sz w:val="20"/>
                <w:szCs w:val="20"/>
              </w:rPr>
              <w:t>2020</w:t>
            </w:r>
            <w:r>
              <w:rPr>
                <w:rFonts w:hint="eastAsia"/>
              </w:rPr>
              <w:t>年</w:t>
            </w:r>
            <w:r>
              <w:rPr>
                <w:rFonts w:ascii="宋体" w:hAnsi="宋体"/>
                <w:b/>
                <w:color w:val="000000" w:themeColor="text1"/>
                <w:sz w:val="20"/>
                <w:szCs w:val="20"/>
              </w:rPr>
              <w:t>12</w:t>
            </w:r>
            <w:r>
              <w:rPr>
                <w:rFonts w:hint="eastAsia"/>
              </w:rPr>
              <w:t>月</w:t>
            </w:r>
            <w:r>
              <w:rPr>
                <w:rFonts w:ascii="宋体" w:hAnsi="宋体"/>
                <w:b/>
                <w:color w:val="000000" w:themeColor="text1"/>
                <w:sz w:val="20"/>
                <w:szCs w:val="20"/>
              </w:rPr>
              <w:t>06</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lang w:val="en-US" w:eastAsia="zh-CN"/>
              </w:rPr>
              <w:t>2021</w:t>
            </w:r>
            <w:r>
              <w:rPr>
                <w:rFonts w:hint="eastAsia"/>
              </w:rPr>
              <w:t xml:space="preserve">年 </w:t>
            </w:r>
            <w:r>
              <w:rPr>
                <w:rFonts w:hint="eastAsia"/>
                <w:lang w:val="en-US" w:eastAsia="zh-CN"/>
              </w:rPr>
              <w:t>6</w:t>
            </w:r>
            <w:r>
              <w:rPr>
                <w:rFonts w:hint="eastAsia"/>
              </w:rPr>
              <w:t xml:space="preserve"> 月</w:t>
            </w:r>
            <w:r>
              <w:rPr>
                <w:rFonts w:hint="eastAsia"/>
                <w:lang w:val="en-US" w:eastAsia="zh-CN"/>
              </w:rPr>
              <w:t>18</w:t>
            </w:r>
            <w:r>
              <w:rPr>
                <w:rFonts w:hint="eastAsia"/>
              </w:rPr>
              <w:t xml:space="preserve"> 日</w:t>
            </w:r>
            <w:r>
              <w:rPr>
                <w:rFonts w:hint="eastAsia"/>
                <w:lang w:val="en-US" w:eastAsia="zh-CN"/>
              </w:rPr>
              <w:t>13:00</w:t>
            </w:r>
            <w:r>
              <w:rPr>
                <w:rFonts w:hint="eastAsia"/>
              </w:rPr>
              <w:t xml:space="preserve">至 </w:t>
            </w:r>
            <w:r>
              <w:rPr>
                <w:rFonts w:hint="eastAsia"/>
                <w:lang w:val="en-US" w:eastAsia="zh-CN"/>
              </w:rPr>
              <w:t>2021</w:t>
            </w:r>
            <w:r>
              <w:rPr>
                <w:rFonts w:hint="eastAsia"/>
              </w:rPr>
              <w:t>年</w:t>
            </w:r>
            <w:r>
              <w:rPr>
                <w:rFonts w:hint="eastAsia"/>
                <w:lang w:val="en-US" w:eastAsia="zh-CN"/>
              </w:rPr>
              <w:t>6</w:t>
            </w:r>
            <w:r>
              <w:rPr>
                <w:rFonts w:hint="eastAsia"/>
              </w:rPr>
              <w:t xml:space="preserve">月 </w:t>
            </w:r>
            <w:r>
              <w:rPr>
                <w:rFonts w:hint="eastAsia"/>
                <w:lang w:val="en-US" w:eastAsia="zh-CN"/>
              </w:rPr>
              <w:t>23</w:t>
            </w:r>
            <w:r>
              <w:rPr>
                <w:rFonts w:hint="eastAsia"/>
              </w:rPr>
              <w:t xml:space="preserve">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w:t>
            </w:r>
          </w:p>
        </w:tc>
      </w:tr>
    </w:tbl>
    <w:p/>
    <w:p>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01"/>
        <w:gridCol w:w="12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01"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2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沙洋弘润建材有限公司</w:t>
            </w:r>
            <w:r>
              <w:rPr>
                <w:rFonts w:hint="eastAsia"/>
                <w:sz w:val="21"/>
                <w:szCs w:val="21"/>
                <w:lang w:val="en-US" w:eastAsia="zh-CN"/>
              </w:rPr>
              <w:t>/</w:t>
            </w:r>
            <w:r>
              <w:rPr>
                <w:rFonts w:asciiTheme="minorEastAsia" w:hAnsiTheme="minorEastAsia" w:eastAsiaTheme="minorEastAsia"/>
                <w:sz w:val="20"/>
              </w:rPr>
              <w:t>沙洋县沙洋镇洪岭大道2幢</w:t>
            </w:r>
          </w:p>
        </w:tc>
        <w:tc>
          <w:tcPr>
            <w:tcW w:w="2267" w:type="dxa"/>
          </w:tcPr>
          <w:p>
            <w:pPr>
              <w:numPr>
                <w:ilvl w:val="0"/>
                <w:numId w:val="0"/>
              </w:numPr>
              <w:rPr>
                <w:rFonts w:hint="eastAsia" w:asciiTheme="minorEastAsia" w:hAnsiTheme="minorEastAsia" w:eastAsiaTheme="minorEastAsia"/>
                <w:sz w:val="20"/>
                <w:lang w:val="de-DE" w:eastAsia="zh-CN"/>
              </w:rPr>
            </w:pPr>
            <w:bookmarkStart w:id="31" w:name="生产地址"/>
            <w:r>
              <w:rPr>
                <w:rFonts w:asciiTheme="minorEastAsia" w:hAnsiTheme="minorEastAsia" w:eastAsiaTheme="minorEastAsia"/>
                <w:sz w:val="20"/>
              </w:rPr>
              <w:t>沙洋县沙洋镇洪岭大道2幢/</w:t>
            </w:r>
          </w:p>
          <w:bookmarkEnd w:id="31"/>
          <w:p>
            <w:pPr>
              <w:numPr>
                <w:ilvl w:val="0"/>
                <w:numId w:val="0"/>
              </w:numPr>
              <w:rPr>
                <w:rFonts w:hint="eastAsia" w:asciiTheme="minorEastAsia" w:hAnsiTheme="minorEastAsia" w:eastAsiaTheme="minorEastAsia"/>
                <w:sz w:val="20"/>
                <w:lang w:val="de-DE" w:eastAsia="zh-CN"/>
              </w:rPr>
            </w:pPr>
          </w:p>
        </w:tc>
        <w:tc>
          <w:tcPr>
            <w:tcW w:w="571" w:type="dxa"/>
            <w:vAlign w:val="center"/>
          </w:tcPr>
          <w:p>
            <w:pPr>
              <w:rPr>
                <w:rFonts w:hint="default" w:eastAsia="宋体"/>
                <w:lang w:val="en-US" w:eastAsia="zh-CN"/>
              </w:rPr>
            </w:pPr>
            <w:r>
              <w:rPr>
                <w:rFonts w:hint="eastAsia"/>
                <w:lang w:val="en-US" w:eastAsia="zh-CN"/>
              </w:rPr>
              <w:t>172</w:t>
            </w:r>
          </w:p>
        </w:tc>
        <w:tc>
          <w:tcPr>
            <w:tcW w:w="2201" w:type="dxa"/>
            <w:vAlign w:val="center"/>
          </w:tcPr>
          <w:p>
            <w:pPr>
              <w:rPr>
                <w:lang w:eastAsia="ja-JP"/>
              </w:rPr>
            </w:pPr>
            <w:r>
              <w:rPr>
                <w:sz w:val="20"/>
              </w:rPr>
              <w:t>平板玻璃的生产及销售</w:t>
            </w:r>
            <w:r>
              <w:rPr>
                <w:rFonts w:hint="eastAsia"/>
                <w:sz w:val="20"/>
                <w:lang w:val="en-US" w:eastAsia="zh-CN"/>
              </w:rPr>
              <w:t>涉及的能源管理活动。</w:t>
            </w:r>
          </w:p>
        </w:tc>
        <w:tc>
          <w:tcPr>
            <w:tcW w:w="1271" w:type="dxa"/>
            <w:vAlign w:val="center"/>
          </w:tcPr>
          <w:p>
            <w:pPr>
              <w:rPr>
                <w:rFonts w:hint="eastAsia"/>
                <w:lang w:val="en-US" w:eastAsia="zh-CN"/>
              </w:rPr>
            </w:pPr>
            <w:r>
              <w:rPr>
                <w:rFonts w:hint="eastAsia"/>
                <w:lang w:val="en-US" w:eastAsia="zh-CN"/>
              </w:rPr>
              <w:t>GB/T23331-2020</w:t>
            </w:r>
          </w:p>
          <w:p>
            <w:pPr>
              <w:pStyle w:val="2"/>
              <w:ind w:left="0" w:leftChars="0" w:firstLine="0" w:firstLineChars="0"/>
              <w:rPr>
                <w:rFonts w:hint="default"/>
                <w:lang w:val="en-US" w:eastAsia="zh-CN"/>
              </w:rPr>
            </w:pPr>
            <w:r>
              <w:rPr>
                <w:rFonts w:hint="eastAsia" w:eastAsia="宋体" w:cs="Times New Roman"/>
                <w:b w:val="0"/>
                <w:bCs/>
                <w:sz w:val="20"/>
                <w:lang w:val="en-US" w:eastAsia="zh-CN"/>
              </w:rPr>
              <w:t>RB/T111-2014</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Pr>
        <w:pStyle w:val="13"/>
      </w:pPr>
    </w:p>
    <w:p>
      <w:pPr>
        <w:pStyle w:val="13"/>
        <w:rPr>
          <w:lang w:eastAsia="ja-JP"/>
        </w:rPr>
      </w:pPr>
    </w:p>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蔡丽萍</w:t>
            </w:r>
          </w:p>
        </w:tc>
        <w:tc>
          <w:tcPr>
            <w:tcW w:w="1089" w:type="dxa"/>
            <w:vAlign w:val="center"/>
          </w:tcPr>
          <w:p>
            <w:r>
              <w:t>组员</w:t>
            </w:r>
          </w:p>
        </w:tc>
        <w:tc>
          <w:tcPr>
            <w:tcW w:w="711" w:type="dxa"/>
            <w:vAlign w:val="center"/>
          </w:tcPr>
          <w:p>
            <w:r>
              <w:t>女</w:t>
            </w:r>
          </w:p>
        </w:tc>
        <w:tc>
          <w:tcPr>
            <w:tcW w:w="3870" w:type="dxa"/>
            <w:vAlign w:val="center"/>
          </w:tcPr>
          <w:p>
            <w:r>
              <w:t>ISC-JSZJ-326</w:t>
            </w:r>
          </w:p>
          <w:p>
            <w:r>
              <w:t>湖北荆玻海龙玻璃制品有限公司</w:t>
            </w:r>
          </w:p>
        </w:tc>
        <w:tc>
          <w:tcPr>
            <w:tcW w:w="2179" w:type="dxa"/>
            <w:vAlign w:val="center"/>
          </w:tcPr>
          <w:p>
            <w:r>
              <w:t>2.10</w:t>
            </w:r>
          </w:p>
        </w:tc>
      </w:tr>
    </w:tbl>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sz w:val="21"/>
                <w:lang w:val="en-US" w:eastAsia="zh-CN"/>
              </w:rPr>
              <w:drawing>
                <wp:anchor distT="0" distB="0" distL="114300" distR="114300" simplePos="0" relativeHeight="251662336" behindDoc="0" locked="0" layoutInCell="1" allowOverlap="1">
                  <wp:simplePos x="0" y="0"/>
                  <wp:positionH relativeFrom="column">
                    <wp:posOffset>271145</wp:posOffset>
                  </wp:positionH>
                  <wp:positionV relativeFrom="paragraph">
                    <wp:posOffset>34290</wp:posOffset>
                  </wp:positionV>
                  <wp:extent cx="640715" cy="300990"/>
                  <wp:effectExtent l="0" t="0" r="6985" b="381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7"/>
                          <a:stretch>
                            <a:fillRect/>
                          </a:stretch>
                        </pic:blipFill>
                        <pic:spPr>
                          <a:xfrm>
                            <a:off x="0" y="0"/>
                            <a:ext cx="640715" cy="30099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2022.5.14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审核周期</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 </w:t>
            </w:r>
            <w:r>
              <w:rPr>
                <w:rFonts w:hint="eastAsia" w:ascii="Times New Roman" w:hAnsi="Times New Roman" w:eastAsia="宋体" w:cs="Times New Roman"/>
                <w:lang w:eastAsia="zh-CN"/>
              </w:rPr>
              <w:t>☑</w:t>
            </w:r>
            <w:r>
              <w:rPr>
                <w:rFonts w:hint="eastAsia" w:ascii="Times New Roman" w:hAnsi="Times New Roman" w:eastAsia="宋体" w:cs="Times New Roman"/>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体系要素</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组织环境</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hint="eastAsia" w:ascii="Times New Roman" w:hAnsi="Times New Roman" w:eastAsia="宋体" w:cs="Times New Roman"/>
                    </w:rPr>
                  </w:pPr>
                </w:p>
              </w:tc>
              <w:tc>
                <w:tcPr>
                  <w:tcW w:w="737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外部环境</w:t>
                  </w:r>
                </w:p>
              </w:tc>
              <w:tc>
                <w:tcPr>
                  <w:tcW w:w="737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法律法规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技术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竞争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市场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文化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社会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经济环境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政治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监管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财务  </w:t>
                  </w:r>
                  <w:r>
                    <w:rPr>
                      <w:rFonts w:hint="eastAsia" w:ascii="Times New Roman" w:hAnsi="Times New Roman" w:eastAsia="宋体" w:cs="Times New Roman"/>
                      <w:lang w:eastAsia="zh-CN"/>
                    </w:rPr>
                    <w:t>☑</w:t>
                  </w:r>
                  <w:r>
                    <w:rPr>
                      <w:rFonts w:hint="eastAsia" w:ascii="Times New Roman" w:hAnsi="Times New Roman" w:eastAsia="宋体" w:cs="Times New Roman"/>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内部环境</w:t>
                  </w:r>
                </w:p>
              </w:tc>
              <w:tc>
                <w:tcPr>
                  <w:tcW w:w="737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价值观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文化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知识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绩效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工艺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设备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人员能力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活动、产品和服务 </w:t>
                  </w:r>
                  <w:r>
                    <w:rPr>
                      <w:rFonts w:hint="eastAsia" w:ascii="Times New Roman" w:hAnsi="Times New Roman" w:eastAsia="宋体" w:cs="Times New Roman"/>
                      <w:lang w:eastAsia="zh-CN"/>
                    </w:rPr>
                    <w:t>☑</w:t>
                  </w:r>
                  <w:r>
                    <w:rPr>
                      <w:rFonts w:hint="eastAsia" w:ascii="Times New Roman" w:hAnsi="Times New Roman" w:eastAsia="宋体" w:cs="Times New Roman"/>
                    </w:rPr>
                    <w:t>战略方向 □其他</w:t>
                  </w:r>
                </w:p>
              </w:tc>
            </w:tr>
          </w:tbl>
          <w:p>
            <w:pPr>
              <w:shd w:val="clear" w:color="auto" w:fill="EBF1DE" w:themeFill="accent3" w:themeFillTint="32"/>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重要的相关方</w:t>
                  </w:r>
                </w:p>
              </w:tc>
              <w:tc>
                <w:tcPr>
                  <w:tcW w:w="6912"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主管部门</w:t>
                  </w:r>
                </w:p>
              </w:tc>
              <w:tc>
                <w:tcPr>
                  <w:tcW w:w="6912"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□供方</w:t>
                  </w:r>
                </w:p>
              </w:tc>
              <w:tc>
                <w:tcPr>
                  <w:tcW w:w="6912"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□顾客</w:t>
                  </w:r>
                </w:p>
              </w:tc>
              <w:tc>
                <w:tcPr>
                  <w:tcW w:w="6912"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□社区</w:t>
                  </w:r>
                </w:p>
              </w:tc>
              <w:tc>
                <w:tcPr>
                  <w:tcW w:w="6912"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□员工</w:t>
                  </w:r>
                </w:p>
              </w:tc>
              <w:tc>
                <w:tcPr>
                  <w:tcW w:w="6912"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投资方</w:t>
                  </w:r>
                </w:p>
              </w:tc>
              <w:tc>
                <w:tcPr>
                  <w:tcW w:w="6912"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□其他</w:t>
                  </w:r>
                </w:p>
              </w:tc>
              <w:tc>
                <w:tcPr>
                  <w:tcW w:w="6912" w:type="dxa"/>
                </w:tcPr>
                <w:p>
                  <w:pPr>
                    <w:shd w:val="clear" w:color="auto" w:fill="EBF1DE" w:themeFill="accent3" w:themeFillTint="32"/>
                    <w:rPr>
                      <w:rFonts w:hint="eastAsia" w:ascii="Times New Roman" w:hAnsi="Times New Roman" w:eastAsia="宋体" w:cs="Times New Roman"/>
                    </w:rPr>
                  </w:pPr>
                </w:p>
              </w:tc>
            </w:tr>
          </w:tbl>
          <w:p>
            <w:pPr>
              <w:shd w:val="clear" w:color="auto" w:fill="EBF1DE" w:themeFill="accent3" w:themeFillTint="32"/>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组织明确相关能源管理体系的范围；（详见第一条款审核范围）</w:t>
            </w:r>
          </w:p>
          <w:p>
            <w:pPr>
              <w:shd w:val="clear" w:color="auto" w:fill="EBF1DE" w:themeFill="accent3" w:themeFillTint="32"/>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已将能源管理体系要求融入到其各项业务过程中，包括：</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设计和开发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采购 </w:t>
            </w:r>
            <w:r>
              <w:rPr>
                <w:rFonts w:hint="eastAsia" w:ascii="Times New Roman" w:hAnsi="Times New Roman" w:eastAsia="宋体" w:cs="Times New Roman"/>
                <w:lang w:eastAsia="zh-CN"/>
              </w:rPr>
              <w:t>☑</w:t>
            </w:r>
            <w:r>
              <w:rPr>
                <w:rFonts w:hint="eastAsia" w:ascii="Times New Roman" w:hAnsi="Times New Roman" w:eastAsia="宋体" w:cs="Times New Roman"/>
              </w:rPr>
              <w:t>人力资源</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营销和市场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生产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设备管理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影响运行的重要</w:t>
            </w:r>
            <w:r>
              <w:rPr>
                <w:rFonts w:hint="eastAsia" w:ascii="Times New Roman" w:hAnsi="Times New Roman" w:eastAsia="宋体" w:cs="Times New Roman"/>
                <w:lang w:val="en-GB"/>
              </w:rPr>
              <w:t>过程如下</w:t>
            </w:r>
            <w:r>
              <w:rPr>
                <w:rFonts w:hint="eastAsia" w:ascii="Times New Roman" w:hAnsi="Times New Roman" w:eastAsia="宋体" w:cs="Times New Roman"/>
              </w:rPr>
              <w:t>:</w:t>
            </w:r>
            <w:r>
              <w:rPr>
                <w:rFonts w:hint="eastAsia" w:ascii="Times New Roman" w:hAnsi="Times New Roman" w:eastAsia="宋体" w:cs="Times New Roman"/>
                <w:lang w:val="en-GB"/>
              </w:rPr>
              <w:t xml:space="preserve"> （</w:t>
            </w:r>
            <w:r>
              <w:rPr>
                <w:rFonts w:hint="eastAsia" w:ascii="Times New Roman" w:hAnsi="Times New Roman" w:eastAsia="宋体" w:cs="Times New Roman"/>
              </w:rPr>
              <w:t>不必全选</w:t>
            </w:r>
            <w:r>
              <w:rPr>
                <w:rFonts w:hint="eastAsia" w:ascii="Times New Roman" w:hAnsi="Times New Roman" w:eastAsia="宋体" w:cs="Times New Roman"/>
                <w:lang w:val="en-GB"/>
              </w:rPr>
              <w:t>）</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节约能源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节约资源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满足限额要求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主要用能设备管理  </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能耗测量</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□节能评估 □其他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影响体系运行的外包</w:t>
            </w:r>
            <w:r>
              <w:rPr>
                <w:rFonts w:hint="eastAsia" w:ascii="Times New Roman" w:hAnsi="Times New Roman" w:eastAsia="宋体" w:cs="Times New Roman"/>
                <w:lang w:val="en-GB"/>
              </w:rPr>
              <w:t>过程如下</w:t>
            </w:r>
            <w:r>
              <w:rPr>
                <w:rFonts w:hint="eastAsia" w:ascii="Times New Roman" w:hAnsi="Times New Roman" w:eastAsia="宋体" w:cs="Times New Roman"/>
              </w:rPr>
              <w:t>:</w:t>
            </w:r>
            <w:r>
              <w:rPr>
                <w:rFonts w:hint="eastAsia" w:ascii="Times New Roman" w:hAnsi="Times New Roman" w:eastAsia="宋体" w:cs="Times New Roman"/>
                <w:lang w:val="en-GB"/>
              </w:rPr>
              <w:t xml:space="preserve"> （</w:t>
            </w:r>
            <w:r>
              <w:rPr>
                <w:rFonts w:hint="eastAsia" w:ascii="Times New Roman" w:hAnsi="Times New Roman" w:eastAsia="宋体" w:cs="Times New Roman"/>
              </w:rPr>
              <w:t>根据实际情况选择</w:t>
            </w:r>
            <w:r>
              <w:rPr>
                <w:rFonts w:hint="eastAsia" w:ascii="Times New Roman" w:hAnsi="Times New Roman" w:eastAsia="宋体" w:cs="Times New Roman"/>
                <w:lang w:val="en-GB"/>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生产/服务过程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能效监测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设备维修 </w:t>
            </w:r>
            <w:r>
              <w:rPr>
                <w:rFonts w:hint="eastAsia" w:ascii="Times New Roman" w:hAnsi="Times New Roman" w:eastAsia="宋体" w:cs="Times New Roman"/>
                <w:lang w:eastAsia="zh-CN"/>
              </w:rPr>
              <w:t>☑</w:t>
            </w:r>
            <w:r>
              <w:rPr>
                <w:rFonts w:hint="eastAsia" w:ascii="Times New Roman" w:hAnsi="Times New Roman" w:eastAsia="宋体" w:cs="Times New Roman"/>
              </w:rPr>
              <w:t>人员培训 □其他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GB"/>
              </w:rPr>
              <w:t>组织通过</w:t>
            </w:r>
            <w:r>
              <w:rPr>
                <w:rFonts w:hint="eastAsia" w:ascii="Times New Roman" w:hAnsi="Times New Roman" w:eastAsia="宋体" w:cs="Times New Roman"/>
              </w:rPr>
              <w:t>节能</w:t>
            </w:r>
            <w:r>
              <w:rPr>
                <w:rFonts w:hint="eastAsia" w:ascii="Times New Roman" w:hAnsi="Times New Roman" w:eastAsia="宋体" w:cs="Times New Roman"/>
                <w:lang w:val="en-GB"/>
              </w:rPr>
              <w:t>目标的建立、实施、内审和管理评审等方式，充分地</w:t>
            </w:r>
            <w:r>
              <w:rPr>
                <w:rFonts w:hint="eastAsia" w:ascii="Times New Roman" w:hAnsi="Times New Roman" w:eastAsia="宋体" w:cs="Times New Roman"/>
              </w:rPr>
              <w:t>评审，管理及</w:t>
            </w:r>
            <w:r>
              <w:rPr>
                <w:rFonts w:hint="eastAsia" w:ascii="Times New Roman" w:hAnsi="Times New Roman" w:eastAsia="宋体" w:cs="Times New Roman"/>
                <w:lang w:val="en-GB"/>
              </w:rPr>
              <w:t>控制这些</w:t>
            </w:r>
            <w:r>
              <w:rPr>
                <w:rFonts w:hint="eastAsia" w:ascii="Times New Roman" w:hAnsi="Times New Roman" w:eastAsia="宋体" w:cs="Times New Roman"/>
              </w:rPr>
              <w:t>能源管理体系覆盖的过程</w:t>
            </w:r>
            <w:r>
              <w:rPr>
                <w:rFonts w:hint="eastAsia" w:ascii="Times New Roman" w:hAnsi="Times New Roman" w:eastAsia="宋体" w:cs="Times New Roman"/>
                <w:lang w:val="en-GB"/>
              </w:rPr>
              <w:t>和活动</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领导作用</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以身作则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建立机制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法规宣传 </w:t>
            </w:r>
            <w:r>
              <w:rPr>
                <w:rFonts w:hint="eastAsia" w:ascii="Times New Roman" w:hAnsi="Times New Roman" w:eastAsia="宋体" w:cs="Times New Roman"/>
                <w:lang w:eastAsia="zh-CN"/>
              </w:rPr>
              <w:t>☑</w:t>
            </w:r>
            <w:r>
              <w:rPr>
                <w:rFonts w:hint="eastAsia" w:ascii="Times New Roman" w:hAnsi="Times New Roman" w:eastAsia="宋体" w:cs="Times New Roman"/>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 xml:space="preserve">最高管理者制定了文件化的管理体系方针：  </w:t>
            </w:r>
            <w:r>
              <w:rPr>
                <w:rFonts w:hint="eastAsia" w:ascii="Times New Roman" w:hAnsi="Times New Roman" w:eastAsia="宋体" w:cs="Times New Roman"/>
                <w:lang w:val="en-US" w:eastAsia="zh-CN"/>
              </w:rPr>
              <w:t>“</w:t>
            </w:r>
            <w:r>
              <w:rPr>
                <w:rFonts w:hint="eastAsia" w:ascii="Times New Roman" w:hAnsi="Times New Roman" w:eastAsia="宋体" w:cs="Times New Roman"/>
              </w:rPr>
              <w:t>严格贯彻节能法律法规，履行节能降耗相关要求；提供资源促进节能进步，持续改进能源管理绩效；形成节能降耗长效机制，构建节约环保绿色企业</w:t>
            </w:r>
            <w:r>
              <w:rPr>
                <w:rFonts w:hint="eastAsia" w:ascii="Times New Roman" w:hAnsi="Times New Roman" w:eastAsia="宋体" w:cs="Times New Roman"/>
                <w:lang w:val="en-US" w:eastAsia="zh-CN"/>
              </w:rPr>
              <w:t>。”</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能源</w:t>
            </w:r>
            <w:r>
              <w:rPr>
                <w:rFonts w:hint="eastAsia" w:ascii="Times New Roman" w:hAnsi="Times New Roman" w:eastAsia="宋体" w:cs="Times New Roman"/>
                <w:lang w:val="en-GB"/>
              </w:rPr>
              <w:t>方针合理恰当并为相应的</w:t>
            </w:r>
            <w:r>
              <w:rPr>
                <w:rFonts w:hint="eastAsia" w:ascii="Times New Roman" w:hAnsi="Times New Roman" w:eastAsia="宋体" w:cs="Times New Roman"/>
              </w:rPr>
              <w:t>节能</w:t>
            </w:r>
            <w:r>
              <w:rPr>
                <w:rFonts w:hint="eastAsia" w:ascii="Times New Roman" w:hAnsi="Times New Roman" w:eastAsia="宋体" w:cs="Times New Roman"/>
                <w:lang w:val="en-GB"/>
              </w:rPr>
              <w:t>目标提供了框架，</w:t>
            </w:r>
            <w:r>
              <w:rPr>
                <w:rFonts w:hint="eastAsia" w:ascii="Times New Roman" w:hAnsi="Times New Roman" w:eastAsia="宋体" w:cs="Times New Roman"/>
              </w:rPr>
              <w:t>包括了</w:t>
            </w:r>
            <w:r>
              <w:rPr>
                <w:rFonts w:hint="eastAsia" w:ascii="Times New Roman" w:hAnsi="Times New Roman" w:eastAsia="宋体" w:cs="Times New Roman"/>
                <w:lang w:val="en-GB"/>
              </w:rPr>
              <w:t>节能的承诺、履行其合规义务的承诺，持续改进能源管理体系以提高能源绩效的承诺；</w:t>
            </w:r>
            <w:r>
              <w:rPr>
                <w:rFonts w:hint="eastAsia" w:ascii="Times New Roman" w:hAnsi="Times New Roman" w:eastAsia="宋体" w:cs="Times New Roman"/>
              </w:rPr>
              <w:t>最高</w:t>
            </w:r>
            <w:r>
              <w:rPr>
                <w:rFonts w:hint="eastAsia" w:ascii="Times New Roman" w:hAnsi="Times New Roman" w:eastAsia="宋体" w:cs="Times New Roman"/>
                <w:lang w:val="en-GB"/>
              </w:rPr>
              <w:t>管理层已经宣布了组织的</w:t>
            </w:r>
            <w:r>
              <w:rPr>
                <w:rFonts w:hint="eastAsia" w:ascii="Times New Roman" w:hAnsi="Times New Roman" w:eastAsia="宋体" w:cs="Times New Roman"/>
              </w:rPr>
              <w:t>能源</w:t>
            </w:r>
            <w:r>
              <w:rPr>
                <w:rFonts w:hint="eastAsia" w:ascii="Times New Roman" w:hAnsi="Times New Roman" w:eastAsia="宋体" w:cs="Times New Roman"/>
                <w:lang w:val="en-GB"/>
              </w:rPr>
              <w:t>方针并进行了实施，它使所有员工负起持续改进</w:t>
            </w:r>
            <w:r>
              <w:rPr>
                <w:rFonts w:hint="eastAsia" w:ascii="Times New Roman" w:hAnsi="Times New Roman" w:eastAsia="宋体" w:cs="Times New Roman"/>
              </w:rPr>
              <w:t>能源</w:t>
            </w:r>
            <w:r>
              <w:rPr>
                <w:rFonts w:hint="eastAsia" w:ascii="Times New Roman" w:hAnsi="Times New Roman" w:eastAsia="宋体" w:cs="Times New Roman"/>
                <w:lang w:val="en-GB"/>
              </w:rPr>
              <w:t>管理体系的责任，</w:t>
            </w:r>
            <w:r>
              <w:rPr>
                <w:rFonts w:hint="eastAsia" w:ascii="Times New Roman" w:hAnsi="Times New Roman" w:eastAsia="宋体" w:cs="Times New Roma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最高管理者确定了组织架构及相关岗位的职责、权限，并进行了全员的沟通和理解；</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EnMS的主管部门是——</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 xml:space="preserve">能源管理团队 </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企管部</w:t>
            </w:r>
          </w:p>
          <w:p>
            <w:pPr>
              <w:shd w:val="clear" w:color="auto" w:fill="EBF1DE" w:themeFill="accent3" w:themeFillTint="32"/>
              <w:rPr>
                <w:rFonts w:hint="default" w:ascii="Times New Roman" w:hAnsi="Times New Roman" w:eastAsia="宋体" w:cs="Times New Roman"/>
                <w:lang w:val="en-US"/>
              </w:rPr>
            </w:pPr>
            <w:r>
              <w:rPr>
                <w:rFonts w:hint="eastAsia" w:ascii="Times New Roman" w:hAnsi="Times New Roman" w:eastAsia="宋体" w:cs="Times New Roman"/>
                <w:lang w:val="en-US" w:eastAsia="zh-CN"/>
              </w:rPr>
              <w:t>能源管理团队负责人（管理者代表）是——王泽银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策划</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加强火源管理，可能导致的泄漏火灾</w:t>
                  </w:r>
                </w:p>
              </w:tc>
              <w:tc>
                <w:tcPr>
                  <w:tcW w:w="3965"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专人管理、配备防泄漏容器、消防设备</w:t>
                  </w:r>
                </w:p>
              </w:tc>
              <w:tc>
                <w:tcPr>
                  <w:tcW w:w="1717"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消防安全风险</w:t>
                  </w:r>
                </w:p>
              </w:tc>
              <w:tc>
                <w:tcPr>
                  <w:tcW w:w="3965"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定期进行消防安全培训及安全演练、配备消防设备、建立消防安全疏散通道</w:t>
                  </w:r>
                </w:p>
              </w:tc>
              <w:tc>
                <w:tcPr>
                  <w:tcW w:w="1717"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熔窑的安全事故</w:t>
                  </w:r>
                </w:p>
              </w:tc>
              <w:tc>
                <w:tcPr>
                  <w:tcW w:w="3965"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加强熔窑的安全防范，制定应急预案，保证熔窑的安全运行。</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eastAsia" w:ascii="Times New Roman" w:hAnsi="Times New Roman" w:eastAsia="宋体" w:cs="Times New Roman"/>
                    </w:rPr>
                  </w:pPr>
                </w:p>
              </w:tc>
              <w:tc>
                <w:tcPr>
                  <w:tcW w:w="3965" w:type="dxa"/>
                </w:tcPr>
                <w:p>
                  <w:pPr>
                    <w:shd w:val="clear" w:color="auto" w:fill="EBF1DE" w:themeFill="accent3" w:themeFillTint="32"/>
                    <w:rPr>
                      <w:rFonts w:hint="eastAsia" w:ascii="Times New Roman" w:hAnsi="Times New Roman" w:eastAsia="宋体" w:cs="Times New Roman"/>
                    </w:rPr>
                  </w:pPr>
                </w:p>
              </w:tc>
              <w:tc>
                <w:tcPr>
                  <w:tcW w:w="1717" w:type="dxa"/>
                </w:tcPr>
                <w:p>
                  <w:pPr>
                    <w:shd w:val="clear" w:color="auto" w:fill="EBF1DE" w:themeFill="accent3" w:themeFillTint="32"/>
                    <w:rPr>
                      <w:rFonts w:hint="eastAsia" w:ascii="Times New Roman" w:hAnsi="Times New Roman" w:eastAsia="宋体" w:cs="Times New Roman"/>
                    </w:rPr>
                  </w:pPr>
                </w:p>
              </w:tc>
            </w:tr>
          </w:tbl>
          <w:p>
            <w:pPr>
              <w:shd w:val="clear" w:color="auto" w:fill="EBF1DE" w:themeFill="accent3" w:themeFillTint="32"/>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组织对控制或影响的所有活动、产品和服务考虑了节能降耗的影响；</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针对每个主要能源使用：1)确定相关变量；2）确定当前能源绩效；3）识别在其控制下，对主要能源使用具有影响的相关人员；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确定改进能源绩效的机会并进行排序；</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评估未来的能源使用和能源消耗。</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当设施、设备、系统或能源使用过程发生显著变化时，应进行能源评审。</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制定了用于建立能源评审的方法和准则的文件化信息，保留能源评审结果的文件化信息。</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主要能源使用包括(必要时，按每个场所来描述):（不必全选）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□蒸汽 □天然气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燃料油  □燃料气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电力  □氮气 □风  □新鲜水 </w:t>
            </w:r>
            <w:r>
              <w:rPr>
                <w:rFonts w:hint="eastAsia" w:ascii="Times New Roman" w:hAnsi="Times New Roman" w:eastAsia="宋体" w:cs="Times New Roman"/>
                <w:lang w:eastAsia="zh-CN"/>
              </w:rPr>
              <w:t>□</w:t>
            </w:r>
            <w:r>
              <w:rPr>
                <w:rFonts w:hint="eastAsia" w:ascii="Times New Roman" w:hAnsi="Times New Roman" w:eastAsia="宋体" w:cs="Times New Roman"/>
              </w:rPr>
              <w:t>各种品质水</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rPr>
              <w:t>其他</w:t>
            </w:r>
            <w:r>
              <w:rPr>
                <w:rFonts w:hint="eastAsia" w:ascii="Times New Roman" w:hAnsi="Times New Roman" w:eastAsia="宋体" w:cs="Times New Roman"/>
                <w:lang w:val="en-US" w:eastAsia="zh-CN"/>
              </w:rPr>
              <w:t>-石油焦</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组织应确定能源绩效参数，这些能源绩效参数应：</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1）与监视和测量能源绩效相适宜；2）使组织能够证实其能源绩效的改进。</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确定和更新能源绩效参数的方法应保持文件化信息。</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当有数据显示相关变量显著影响能源绩效时，应考虑这些数据以建立适当的能源绩效参数。</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组织应评审其能源绩效参数值，并与相应的能源基准进行比较。组织应保留能源绩效参数值的文件化信息。</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能源绩效参数包括但不限于：</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单位产品综合能耗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能源消费总量 □单位产品蒸汽消耗  □单位产品燃料气消耗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加热炉热效率 □其他  </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使用能源评审的信息，并考虑适合的时间段，建立能源基准。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当有数据显示相关变量显著影响能源绩效时，组织应对能源绩效参数和相应的能源基准进行归一化。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根据企业活动的性质，归一化可以是简单的调整，或者是更加复杂的过程。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当出现以下一种或多种情况时，应对能源基准进行调整：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a）能源绩效参数不再能够反映组织的能源绩效时；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b）静态因素发生重大变化时；</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c）其他预先规定的情况。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组织应保留能源基准、相关变量数据和能源基准的修改的文件化信息。</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组织应制定和实施能源数据收集计划，确保运行中的影响能源绩效的关键特性在规定的时间间隔内进行识别、监视、测 量和分析。</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能源数据收集计划应与企业的规模、复杂程度、资源及监视和测量设备相适应。计划应明确监视关键特性必要的数据，且应明确以何种方式、何种频次对数据进行收集和保留。</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所收集数据（或适用时通过测量获取）和保留的文件化信息。应包括：</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a）主要能源使用的相关变量；</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b）与主要能源使用和组织相关的能源消耗；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c）与主要能源使用相关的运行准则；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d）适用时，静态因素；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e）实施方案中特定的数据。</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能源数据收集计划应按规定的时间间隔进行评审，并在适用时更新。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组织提供了下列许可和授权(必要时，按每个场所来描述):</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节能评估报告编号</w:t>
            </w:r>
            <w:r>
              <w:rPr>
                <w:rFonts w:hint="eastAsia" w:ascii="Times New Roman" w:hAnsi="Times New Roman" w:eastAsia="宋体" w:cs="Times New Roman"/>
                <w:lang w:val="en-US" w:eastAsia="zh-CN"/>
              </w:rPr>
              <w:t>/日期</w:t>
            </w:r>
            <w:r>
              <w:rPr>
                <w:rFonts w:hint="eastAsia" w:ascii="Times New Roman" w:hAnsi="Times New Roman" w:eastAsia="宋体" w:cs="Times New Roman"/>
              </w:rPr>
              <w:t>：</w:t>
            </w:r>
            <w:r>
              <w:rPr>
                <w:rFonts w:hint="eastAsia" w:ascii="Times New Roman" w:hAnsi="Times New Roman" w:eastAsia="宋体" w:cs="Times New Roman"/>
                <w:lang w:val="en-US" w:eastAsia="zh-CN"/>
              </w:rPr>
              <w:t>2017年7月</w:t>
            </w:r>
            <w:r>
              <w:rPr>
                <w:rFonts w:hint="eastAsia" w:ascii="Times New Roman" w:hAnsi="Times New Roman" w:eastAsia="宋体" w:cs="Times New Roman"/>
              </w:rPr>
              <w:t xml:space="preserve">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能源评审报告编号</w:t>
            </w:r>
            <w:r>
              <w:rPr>
                <w:rFonts w:hint="eastAsia" w:ascii="Times New Roman" w:hAnsi="Times New Roman" w:eastAsia="宋体" w:cs="Times New Roman"/>
                <w:lang w:val="en-US" w:eastAsia="zh-CN"/>
              </w:rPr>
              <w:t>/日期</w:t>
            </w:r>
            <w:r>
              <w:rPr>
                <w:rFonts w:hint="eastAsia" w:ascii="Times New Roman" w:hAnsi="Times New Roman" w:eastAsia="宋体" w:cs="Times New Roman"/>
              </w:rPr>
              <w:t>：</w:t>
            </w:r>
            <w:r>
              <w:rPr>
                <w:rFonts w:hint="eastAsia" w:ascii="Times New Roman" w:hAnsi="Times New Roman" w:eastAsia="宋体" w:cs="Times New Roman"/>
                <w:lang w:val="en-US" w:eastAsia="zh-CN"/>
              </w:rPr>
              <w:t>2022年4月</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节能项目验收报告编号</w:t>
            </w:r>
            <w:r>
              <w:rPr>
                <w:rFonts w:hint="eastAsia" w:ascii="Times New Roman" w:hAnsi="Times New Roman" w:eastAsia="宋体" w:cs="Times New Roman"/>
                <w:lang w:val="en-US" w:eastAsia="zh-CN"/>
              </w:rPr>
              <w:t>/日期</w:t>
            </w:r>
            <w:r>
              <w:rPr>
                <w:rFonts w:hint="eastAsia" w:ascii="Times New Roman" w:hAnsi="Times New Roman" w:eastAsia="宋体" w:cs="Times New Roman"/>
              </w:rPr>
              <w:t>：</w:t>
            </w:r>
            <w:r>
              <w:rPr>
                <w:rFonts w:hint="eastAsia" w:ascii="Times New Roman" w:hAnsi="Times New Roman" w:eastAsia="宋体" w:cs="Times New Roman"/>
                <w:lang w:val="en-US" w:eastAsia="zh-CN"/>
              </w:rPr>
              <w:t>2020年7月19日（三线）</w:t>
            </w:r>
            <w:r>
              <w:rPr>
                <w:rFonts w:hint="eastAsia" w:ascii="Times New Roman" w:hAnsi="Times New Roman" w:eastAsia="宋体" w:cs="Times New Roman"/>
              </w:rPr>
              <w:t xml:space="preserve">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组织策划并采取措施管理其能源评审、合规义务和识别的风险和机遇；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限额标准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能源计量管理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使用节能设备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主要耗能设备识别及能效测试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组织建立了与方针一致的文件化的管理目标。为实现节能目标而建立的各层级节能目标分解方案、有针对性、可测量并且可实现。</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556"/>
              <w:gridCol w:w="106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节能目标</w:t>
                  </w:r>
                </w:p>
              </w:tc>
              <w:tc>
                <w:tcPr>
                  <w:tcW w:w="2556"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控制措施</w:t>
                  </w:r>
                </w:p>
              </w:tc>
              <w:tc>
                <w:tcPr>
                  <w:tcW w:w="106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责任部门</w:t>
                  </w:r>
                </w:p>
              </w:tc>
              <w:tc>
                <w:tcPr>
                  <w:tcW w:w="2415"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小于限额10.5kgce/重量箱</w:t>
                  </w:r>
                </w:p>
              </w:tc>
              <w:tc>
                <w:tcPr>
                  <w:tcW w:w="2556"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加强能源使用管理；</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降低能源浪费，回收利用；</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平时注意节电、节约石油焦。</w:t>
                  </w:r>
                </w:p>
              </w:tc>
              <w:tc>
                <w:tcPr>
                  <w:tcW w:w="1061"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企管部、生产部</w:t>
                  </w:r>
                </w:p>
              </w:tc>
              <w:tc>
                <w:tcPr>
                  <w:tcW w:w="2415"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10.22kgce/重量箱</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bl>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FE"/>
            </w:r>
            <w:r>
              <w:rPr>
                <w:rFonts w:hint="eastAsia" w:ascii="Times New Roman" w:hAnsi="Times New Roman" w:eastAsia="宋体" w:cs="Times New Roman"/>
              </w:rPr>
              <w:t>目标已实现</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A8"/>
            </w:r>
            <w:r>
              <w:rPr>
                <w:rFonts w:hint="eastAsia" w:ascii="Times New Roman" w:hAnsi="Times New Roman" w:eastAsia="宋体" w:cs="Times New Roman"/>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支持</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组织的资源状况：</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人力资源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自然资源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基础设施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技术  </w:t>
            </w:r>
            <w:r>
              <w:rPr>
                <w:rFonts w:hint="eastAsia" w:ascii="Times New Roman" w:hAnsi="Times New Roman" w:eastAsia="宋体" w:cs="Times New Roman"/>
              </w:rPr>
              <w:sym w:font="Wingdings" w:char="00FE"/>
            </w:r>
            <w:r>
              <w:rPr>
                <w:rFonts w:hint="eastAsia" w:ascii="Times New Roman" w:hAnsi="Times New Roman" w:eastAsia="宋体" w:cs="Times New Roman"/>
              </w:rPr>
              <w:t>财务资源。</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组织现有内部资源的能力可满足能源管理体系运行；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□组织现有内部资源的能力可基本满足能源管理体系运行，但是还有不足需要补充：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□组织现有内部资源的能力完全不能满足能源管理体系运行，需要从外部供方获得：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组织现有人力资源的能力可满足能源管理体系运行；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□组织现有人力资源的能力可基本能源管理体系运行，但是还有不足需要补充：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□组织现有人力资源的能力完全不能满足能源管理体系运行，需要从外部供方获得：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68万</w:t>
            </w:r>
            <w:r>
              <w:rPr>
                <w:rFonts w:hint="eastAsia" w:ascii="Times New Roman" w:hAnsi="Times New Roman" w:eastAsia="宋体" w:cs="Times New Roman"/>
              </w:rPr>
              <w:t xml:space="preserve">  平方米；生产车间 </w:t>
            </w:r>
            <w:r>
              <w:rPr>
                <w:rFonts w:hint="eastAsia" w:ascii="Times New Roman" w:hAnsi="Times New Roman" w:eastAsia="宋体" w:cs="Times New Roman"/>
                <w:lang w:val="en-US" w:eastAsia="zh-CN"/>
              </w:rPr>
              <w:t>3</w:t>
            </w:r>
            <w:r>
              <w:rPr>
                <w:rFonts w:hint="eastAsia" w:ascii="Times New Roman" w:hAnsi="Times New Roman" w:eastAsia="宋体" w:cs="Times New Roman"/>
              </w:rPr>
              <w:t xml:space="preserve"> 个；库房 </w:t>
            </w:r>
            <w:r>
              <w:rPr>
                <w:rFonts w:hint="eastAsia" w:ascii="Times New Roman" w:hAnsi="Times New Roman" w:eastAsia="宋体" w:cs="Times New Roman"/>
                <w:lang w:val="en-US" w:eastAsia="zh-CN"/>
              </w:rPr>
              <w:t>2</w:t>
            </w:r>
            <w:r>
              <w:rPr>
                <w:rFonts w:hint="eastAsia" w:ascii="Times New Roman" w:hAnsi="Times New Roman" w:eastAsia="宋体" w:cs="Times New Roman"/>
              </w:rPr>
              <w:t xml:space="preserve"> 个；实验室 </w:t>
            </w:r>
            <w:r>
              <w:rPr>
                <w:rFonts w:hint="eastAsia" w:ascii="Times New Roman" w:hAnsi="Times New Roman" w:eastAsia="宋体" w:cs="Times New Roman"/>
                <w:lang w:val="en-US" w:eastAsia="zh-CN"/>
              </w:rPr>
              <w:t>2</w:t>
            </w:r>
            <w:r>
              <w:rPr>
                <w:rFonts w:hint="eastAsia" w:ascii="Times New Roman" w:hAnsi="Times New Roman" w:eastAsia="宋体" w:cs="Times New Roman"/>
              </w:rPr>
              <w:t xml:space="preserve"> 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主要生产设备有： </w:t>
            </w:r>
            <w:r>
              <w:rPr>
                <w:rFonts w:hint="eastAsia" w:ascii="Times New Roman" w:hAnsi="Times New Roman" w:eastAsia="宋体" w:cs="Times New Roman"/>
                <w:lang w:val="en-US" w:eastAsia="zh-CN"/>
              </w:rPr>
              <w:t>熔窑、给料机</w:t>
            </w:r>
            <w:r>
              <w:rPr>
                <w:rFonts w:hint="eastAsia" w:ascii="Times New Roman" w:hAnsi="Times New Roman" w:eastAsia="宋体" w:cs="Times New Roman"/>
              </w:rPr>
              <w:t>（列举2~4种）</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主要耗能设备有： </w:t>
            </w:r>
            <w:r>
              <w:rPr>
                <w:rFonts w:hint="eastAsia" w:ascii="Times New Roman" w:hAnsi="Times New Roman" w:eastAsia="宋体" w:cs="Times New Roman"/>
                <w:lang w:val="en-US" w:eastAsia="zh-CN"/>
              </w:rPr>
              <w:t>熔窑、给料机</w:t>
            </w:r>
            <w:r>
              <w:rPr>
                <w:rFonts w:hint="eastAsia" w:ascii="Times New Roman" w:hAnsi="Times New Roman" w:eastAsia="宋体" w:cs="Times New Roman"/>
              </w:rPr>
              <w:t xml:space="preserve">  （列举2~4种）</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叉车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行车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锅炉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电梯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高压配电室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低压配电室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空压站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锅炉房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食堂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组织现有基础设施可满足能源管理体系运行；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□组织现有基础设施可基本满足能源管理体系运行，但是还有不足需要补充：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□组织现有基础设施完全不能满足能源管理体系运行，需要从外部供方获得：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计量器具的测量溯源方法：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自校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外校 </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 xml:space="preserve">能源计量器具有：  </w:t>
            </w:r>
            <w:r>
              <w:rPr>
                <w:rFonts w:hint="eastAsia" w:ascii="Times New Roman" w:hAnsi="Times New Roman" w:eastAsia="宋体" w:cs="Times New Roman"/>
                <w:lang w:val="en-US" w:eastAsia="zh-CN"/>
              </w:rPr>
              <w:t>电子汽车衡、电表、水表</w:t>
            </w:r>
            <w:r>
              <w:rPr>
                <w:rFonts w:hint="eastAsia" w:ascii="Times New Roman" w:hAnsi="Times New Roman" w:eastAsia="宋体" w:cs="Times New Roman"/>
              </w:rPr>
              <w:t xml:space="preserve"> （列举1~4种）</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电子汽车衡有检定报告有效期2021.12.02、电表和水表分别由供电公司和供水公司负责校检</w:t>
            </w:r>
            <w:r>
              <w:rPr>
                <w:rFonts w:hint="eastAsia" w:ascii="Times New Roman" w:hAnsi="Times New Roman" w:eastAsia="宋体" w:cs="Times New Roman"/>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计量器具管理：</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进行了定期校准/检定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未进行定期校准/检定的有：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组织已确定在其控制的工作人员所需具备的能力，并采取措施以获得所需的能力，并评价措施的有效性；</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通过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招聘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换岗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培训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考核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辅导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通过</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会议传达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标语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培训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看板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局域网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组织已确定与能源管理体系相关的信息沟通。</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内部沟通方式：</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文件发放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会议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标语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展板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外部沟通方式：</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宣传材料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网站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标语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展板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组织已建立了文件化的能源管理体系。对自编文件的编制、审批、发放、变更和作废进行了控制。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体系文件受控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体系文件基本受控，存在问题：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对节能相关的外来文件（法律法规、产品标准）进行了识别和贯彻。</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法律法规获取充分，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法律法规获取有遗漏，缺少：    </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操作规程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作业文件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工艺卡片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接收准则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工艺流程图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组织建立、实施和保持了适当的设计和开发过程，以确保后续的产品和服务的提供中满足能源相关的法律法规。（适用时）</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审核期间内，设计和开发新产品/项目名称：  </w:t>
            </w:r>
            <w:r>
              <w:rPr>
                <w:rFonts w:hint="eastAsia" w:ascii="Times New Roman" w:hAnsi="Times New Roman" w:eastAsia="宋体" w:cs="Times New Roman"/>
                <w:lang w:val="en-US" w:eastAsia="zh-CN"/>
              </w:rPr>
              <w:t>计划安装屋顶光伏发电系统。</w:t>
            </w:r>
            <w:r>
              <w:rPr>
                <w:rFonts w:hint="eastAsia" w:ascii="Times New Roman" w:hAnsi="Times New Roman" w:eastAsia="宋体" w:cs="Times New Roman"/>
              </w:rPr>
              <w:t xml:space="preserve"> （举1例）</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对该设计和开发的项目进行了节能评估，并制订了相应的控制措施。</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设计和开发的节能措施控制：</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符合要求 </w:t>
            </w:r>
            <w:r>
              <w:rPr>
                <w:rFonts w:hint="eastAsia" w:ascii="Times New Roman" w:hAnsi="Times New Roman" w:eastAsia="宋体" w:cs="Times New Roman"/>
              </w:rPr>
              <w:sym w:font="Wingdings" w:char="00A8"/>
            </w:r>
            <w:r>
              <w:rPr>
                <w:rFonts w:hint="eastAsia" w:ascii="Times New Roman" w:hAnsi="Times New Roman" w:eastAsia="宋体" w:cs="Times New Roman"/>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组织对外部提供的过程、产品和服务的供方按照政府对节能的影响程度实施控制。</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外部提供包括：</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能源采购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主要用能设备采购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淘汰落后设备更新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能源计量器具采购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控制方式：</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合同约定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现场检查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对外部供方的控制：</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符合要求 </w:t>
            </w:r>
            <w:r>
              <w:rPr>
                <w:rFonts w:hint="eastAsia" w:ascii="Times New Roman" w:hAnsi="Times New Roman" w:eastAsia="宋体" w:cs="Times New Roman"/>
              </w:rPr>
              <w:sym w:font="Wingdings" w:char="00A8"/>
            </w:r>
            <w:r>
              <w:rPr>
                <w:rFonts w:hint="eastAsia" w:ascii="Times New Roman" w:hAnsi="Times New Roman" w:eastAsia="宋体" w:cs="Times New Roman"/>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主要能源使用</w:t>
                  </w:r>
                </w:p>
              </w:tc>
              <w:tc>
                <w:tcPr>
                  <w:tcW w:w="36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控制措施</w:t>
                  </w:r>
                </w:p>
              </w:tc>
              <w:tc>
                <w:tcPr>
                  <w:tcW w:w="32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电的消耗</w:t>
                  </w:r>
                </w:p>
              </w:tc>
              <w:tc>
                <w:tcPr>
                  <w:tcW w:w="36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加强用电设备的管理，提高设备运行效率。防治设备超负荷运转。</w:t>
                  </w:r>
                </w:p>
              </w:tc>
              <w:tc>
                <w:tcPr>
                  <w:tcW w:w="3265" w:type="dxa"/>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石油焦的消耗</w:t>
                  </w:r>
                </w:p>
              </w:tc>
              <w:tc>
                <w:tcPr>
                  <w:tcW w:w="3665"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购买高品质的石油焦，在使用时充分燃烧。</w:t>
                  </w:r>
                </w:p>
              </w:tc>
              <w:tc>
                <w:tcPr>
                  <w:tcW w:w="3265" w:type="dxa"/>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良好</w:t>
                  </w:r>
                </w:p>
              </w:tc>
            </w:tr>
          </w:tbl>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对生产和服务提供过程的节能改进措施控制</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符合要求 </w:t>
            </w:r>
            <w:r>
              <w:rPr>
                <w:rFonts w:hint="eastAsia" w:ascii="Times New Roman" w:hAnsi="Times New Roman" w:eastAsia="宋体" w:cs="Times New Roman"/>
              </w:rPr>
              <w:sym w:font="Wingdings" w:char="00A8"/>
            </w:r>
            <w:r>
              <w:rPr>
                <w:rFonts w:hint="eastAsia" w:ascii="Times New Roman" w:hAnsi="Times New Roman" w:eastAsia="宋体" w:cs="Times New Roman"/>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组织对生产和服务提供的有预期和非预期的更改进行必要的节能效果评审和制订控制措施，以确保持续地符合法规要求。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已发生的更改包括：</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节能技术的实施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节能设备的更新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变更控制：</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符合要求 </w:t>
            </w:r>
            <w:r>
              <w:rPr>
                <w:rFonts w:hint="eastAsia" w:ascii="Times New Roman" w:hAnsi="Times New Roman" w:eastAsia="宋体" w:cs="Times New Roman"/>
              </w:rPr>
              <w:sym w:font="Wingdings" w:char="00A8"/>
            </w:r>
            <w:r>
              <w:rPr>
                <w:rFonts w:hint="eastAsia" w:ascii="Times New Roman" w:hAnsi="Times New Roman" w:eastAsia="宋体" w:cs="Times New Roman"/>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绩效评价</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rPr>
              <w:t>组织</w:t>
            </w:r>
            <w:r>
              <w:rPr>
                <w:rFonts w:hint="eastAsia" w:ascii="Times New Roman" w:hAnsi="Times New Roman" w:eastAsia="宋体" w:cs="Times New Roman"/>
                <w:lang w:val="en-GB"/>
              </w:rPr>
              <w:t>已经制定了信息</w:t>
            </w:r>
            <w:r>
              <w:rPr>
                <w:rFonts w:hint="eastAsia" w:ascii="Times New Roman" w:hAnsi="Times New Roman" w:eastAsia="宋体" w:cs="Times New Roman"/>
              </w:rPr>
              <w:t>的收集、</w:t>
            </w:r>
            <w:r>
              <w:rPr>
                <w:rFonts w:hint="eastAsia" w:ascii="Times New Roman" w:hAnsi="Times New Roman" w:eastAsia="宋体" w:cs="Times New Roman"/>
                <w:lang w:val="en-GB"/>
              </w:rPr>
              <w:t>数据分析、改进方法相关的程序，并生效。</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组织已分析和评价通过监视和测量获得的适当的数据和信息。</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组织已建立、实施并保持评价其合规义务履行情况所需的过程。</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实施合规性评价的时间：</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定期（每年） ： </w:t>
            </w:r>
            <w:r>
              <w:rPr>
                <w:rFonts w:hint="eastAsia" w:ascii="Times New Roman" w:hAnsi="Times New Roman" w:eastAsia="宋体" w:cs="Times New Roman"/>
                <w:lang w:val="en-US" w:eastAsia="zh-CN"/>
              </w:rPr>
              <w:t>2022</w:t>
            </w:r>
            <w:r>
              <w:rPr>
                <w:rFonts w:hint="eastAsia" w:ascii="Times New Roman" w:hAnsi="Times New Roman" w:eastAsia="宋体" w:cs="Times New Roman"/>
              </w:rPr>
              <w:t xml:space="preserve"> 年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月 </w:t>
            </w:r>
            <w:r>
              <w:rPr>
                <w:rFonts w:hint="eastAsia" w:ascii="Times New Roman" w:hAnsi="Times New Roman" w:eastAsia="宋体" w:cs="Times New Roman"/>
                <w:lang w:val="en-US" w:eastAsia="zh-CN"/>
              </w:rPr>
              <w:t>12</w:t>
            </w:r>
            <w:r>
              <w:rPr>
                <w:rFonts w:hint="eastAsia" w:ascii="Times New Roman" w:hAnsi="Times New Roman" w:eastAsia="宋体" w:cs="Times New Roman"/>
              </w:rPr>
              <w:t xml:space="preserve">  日</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A8"/>
            </w:r>
            <w:r>
              <w:rPr>
                <w:rFonts w:hint="eastAsia" w:ascii="Times New Roman" w:hAnsi="Times New Roman" w:eastAsia="宋体" w:cs="Times New Roman"/>
              </w:rPr>
              <w:t>特殊情况（法规变化）：       年   月   日</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组织在适当阶段实施策划的安排，以验证能源法律法规的要求已得到满足。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实施的检测：</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企业自测 </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第三方监测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《能效测试报告》编号：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达标评价：</w:t>
            </w:r>
            <w:r>
              <w:rPr>
                <w:rFonts w:hint="eastAsia" w:ascii="Times New Roman" w:hAnsi="Times New Roman" w:eastAsia="宋体" w:cs="Times New Roman"/>
              </w:rPr>
              <w:sym w:font="Wingdings" w:char="00A8"/>
            </w:r>
            <w:r>
              <w:rPr>
                <w:rFonts w:hint="eastAsia" w:ascii="Times New Roman" w:hAnsi="Times New Roman" w:eastAsia="宋体" w:cs="Times New Roman"/>
              </w:rPr>
              <w:t xml:space="preserve">符合要求 </w:t>
            </w:r>
            <w:r>
              <w:rPr>
                <w:rFonts w:hint="eastAsia" w:ascii="Times New Roman" w:hAnsi="Times New Roman" w:eastAsia="宋体" w:cs="Times New Roman"/>
              </w:rPr>
              <w:sym w:font="Wingdings" w:char="00A8"/>
            </w:r>
            <w:r>
              <w:rPr>
                <w:rFonts w:hint="eastAsia" w:ascii="Times New Roman" w:hAnsi="Times New Roman" w:eastAsia="宋体" w:cs="Times New Roman"/>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组织已</w:t>
            </w:r>
            <w:r>
              <w:rPr>
                <w:rFonts w:hint="eastAsia" w:ascii="Times New Roman" w:hAnsi="Times New Roman" w:eastAsia="宋体" w:cs="Times New Roman"/>
              </w:rPr>
              <w:fldChar w:fldCharType="begin"/>
            </w:r>
            <w:r>
              <w:rPr>
                <w:rFonts w:hint="eastAsia" w:ascii="Times New Roman" w:hAnsi="Times New Roman" w:eastAsia="宋体" w:cs="Times New Roman"/>
              </w:rPr>
              <w:fldChar w:fldCharType="end"/>
            </w:r>
            <w:r>
              <w:rPr>
                <w:rFonts w:hint="eastAsia" w:ascii="Times New Roman" w:hAnsi="Times New Roman" w:eastAsia="宋体" w:cs="Times New Roman"/>
              </w:rPr>
              <w:t xml:space="preserve">通过年度策划于 </w:t>
            </w:r>
            <w:r>
              <w:rPr>
                <w:rFonts w:hint="eastAsia" w:ascii="Times New Roman" w:hAnsi="Times New Roman" w:eastAsia="宋体" w:cs="Times New Roman"/>
                <w:lang w:val="en-US" w:eastAsia="zh-CN"/>
              </w:rPr>
              <w:t>2022</w:t>
            </w:r>
            <w:r>
              <w:rPr>
                <w:rFonts w:hint="eastAsia" w:ascii="Times New Roman" w:hAnsi="Times New Roman" w:eastAsia="宋体" w:cs="Times New Roman"/>
              </w:rPr>
              <w:t>年</w:t>
            </w:r>
            <w:r>
              <w:rPr>
                <w:rFonts w:hint="eastAsia" w:ascii="Times New Roman" w:hAnsi="Times New Roman" w:eastAsia="宋体" w:cs="Times New Roman"/>
                <w:lang w:val="en-US" w:eastAsia="zh-CN"/>
              </w:rPr>
              <w:t>4</w:t>
            </w:r>
            <w:r>
              <w:rPr>
                <w:rFonts w:hint="eastAsia" w:ascii="Times New Roman" w:hAnsi="Times New Roman" w:eastAsia="宋体" w:cs="Times New Roman"/>
              </w:rPr>
              <w:t>月</w:t>
            </w:r>
            <w:r>
              <w:rPr>
                <w:rFonts w:hint="eastAsia" w:ascii="Times New Roman" w:hAnsi="Times New Roman" w:eastAsia="宋体" w:cs="Times New Roman"/>
                <w:lang w:val="en-US" w:eastAsia="zh-CN"/>
              </w:rPr>
              <w:t xml:space="preserve">28 </w:t>
            </w:r>
            <w:r>
              <w:rPr>
                <w:rFonts w:hint="eastAsia" w:ascii="Times New Roman" w:hAnsi="Times New Roman" w:eastAsia="宋体" w:cs="Times New Roman"/>
              </w:rPr>
              <w:t xml:space="preserve">日实施了能源管理体系内部审核，对能源管理体系的符合性和有效性进行了审核。内审发现的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项不符合在本次审核前已完成整改。在公司内完成的这些审核是可信的。</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若是组织多场所/临时场所：（按照组织的实际情况选择）</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A8"/>
            </w:r>
            <w:r>
              <w:rPr>
                <w:rFonts w:hint="eastAsia" w:ascii="Times New Roman" w:hAnsi="Times New Roman" w:eastAsia="宋体" w:cs="Times New Roman"/>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FE"/>
            </w:r>
            <w:r>
              <w:rPr>
                <w:rFonts w:hint="eastAsia" w:ascii="Times New Roman" w:hAnsi="Times New Roman" w:eastAsia="宋体" w:cs="Times New Roman"/>
              </w:rPr>
              <w:t>对所有班次的现场操作已审核。</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A8"/>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最高管理者已按策划的时间间隔，在 </w:t>
            </w:r>
            <w:r>
              <w:rPr>
                <w:rFonts w:hint="eastAsia" w:ascii="Times New Roman" w:hAnsi="Times New Roman" w:eastAsia="宋体" w:cs="Times New Roman"/>
                <w:lang w:val="en-US" w:eastAsia="zh-CN"/>
              </w:rPr>
              <w:t>2022</w:t>
            </w:r>
            <w:r>
              <w:rPr>
                <w:rFonts w:hint="eastAsia" w:ascii="Times New Roman" w:hAnsi="Times New Roman" w:eastAsia="宋体" w:cs="Times New Roman"/>
              </w:rPr>
              <w:t xml:space="preserve"> 年 </w:t>
            </w:r>
            <w:r>
              <w:rPr>
                <w:rFonts w:hint="eastAsia" w:cs="Times New Roman"/>
                <w:lang w:val="en-US" w:eastAsia="zh-CN"/>
              </w:rPr>
              <w:t>5</w:t>
            </w:r>
            <w:bookmarkStart w:id="35" w:name="_GoBack"/>
            <w:bookmarkEnd w:id="35"/>
            <w:r>
              <w:rPr>
                <w:rFonts w:hint="eastAsia" w:ascii="Times New Roman" w:hAnsi="Times New Roman" w:eastAsia="宋体" w:cs="Times New Roman"/>
              </w:rPr>
              <w:t xml:space="preserve">月 </w:t>
            </w:r>
            <w:r>
              <w:rPr>
                <w:rFonts w:hint="eastAsia" w:ascii="Times New Roman" w:hAnsi="Times New Roman" w:eastAsia="宋体" w:cs="Times New Roman"/>
                <w:lang w:val="en-US" w:eastAsia="zh-CN"/>
              </w:rPr>
              <w:t>10</w:t>
            </w:r>
            <w:r>
              <w:rPr>
                <w:rFonts w:hint="eastAsia" w:ascii="Times New Roman" w:hAnsi="Times New Roman" w:eastAsia="宋体" w:cs="Times New Roman"/>
              </w:rPr>
              <w:t xml:space="preserve"> 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改进</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组织针对能源管理体系运行中的不符合采取了有效纠正和纠正措施。针对下列方面采取了纠正措施：</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检测结果不合格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自我检查的结果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主管部门要求整改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内审不符合项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外审不符合项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管理评审   </w:t>
            </w:r>
            <w:r>
              <w:rPr>
                <w:rFonts w:hint="eastAsia" w:ascii="Times New Roman" w:hAnsi="Times New Roman" w:eastAsia="宋体" w:cs="Times New Roman"/>
              </w:rPr>
              <w:sym w:font="Wingdings" w:char="00FE"/>
            </w:r>
            <w:r>
              <w:rPr>
                <w:rFonts w:hint="eastAsia" w:ascii="Times New Roman" w:hAnsi="Times New Roman" w:eastAsia="宋体" w:cs="Times New Roman"/>
              </w:rPr>
              <w:t xml:space="preserve">目标统计分析结果   </w:t>
            </w:r>
            <w:r>
              <w:rPr>
                <w:rFonts w:hint="eastAsia" w:ascii="Times New Roman" w:hAnsi="Times New Roman" w:eastAsia="宋体" w:cs="Times New Roman"/>
              </w:rPr>
              <w:sym w:font="Wingdings" w:char="00A8"/>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组织持续改进了能源管理体系的适宜性、充分性与有效性，以提升能源绩效。</w:t>
            </w:r>
          </w:p>
        </w:tc>
      </w:tr>
    </w:tbl>
    <w:tbl>
      <w:tblPr>
        <w:tblStyle w:val="9"/>
        <w:tblpPr w:leftFromText="180" w:rightFromText="180" w:vertAnchor="text" w:horzAnchor="page" w:tblpX="1067" w:tblpY="148"/>
        <w:tblOverlap w:val="never"/>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537"/>
        <w:gridCol w:w="741"/>
        <w:gridCol w:w="741"/>
        <w:gridCol w:w="741"/>
        <w:gridCol w:w="741"/>
        <w:gridCol w:w="741"/>
        <w:gridCol w:w="741"/>
        <w:gridCol w:w="741"/>
        <w:gridCol w:w="741"/>
        <w:gridCol w:w="741"/>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41" w:type="dxa"/>
            <w:shd w:val="clear" w:color="auto" w:fill="EBF1DE" w:themeFill="accent3" w:themeFillTint="32"/>
            <w:vAlign w:val="center"/>
          </w:tcPr>
          <w:p>
            <w:pPr>
              <w:shd w:val="clear" w:color="auto" w:fill="EBF1DE" w:themeFill="accent3" w:themeFillTint="32"/>
            </w:pPr>
            <w:r>
              <w:rPr>
                <w:rFonts w:hint="eastAsia"/>
              </w:rPr>
              <w:t>7.2</w:t>
            </w:r>
          </w:p>
        </w:tc>
        <w:tc>
          <w:tcPr>
            <w:tcW w:w="741" w:type="dxa"/>
            <w:shd w:val="clear" w:color="auto" w:fill="EBF1DE" w:themeFill="accent3" w:themeFillTint="32"/>
            <w:vAlign w:val="center"/>
          </w:tcPr>
          <w:p>
            <w:pPr>
              <w:shd w:val="clear" w:color="auto" w:fill="EBF1DE" w:themeFill="accent3" w:themeFillTint="32"/>
            </w:pPr>
            <w:r>
              <w:rPr>
                <w:rFonts w:hint="eastAsia"/>
              </w:rPr>
              <w:t>7.3</w:t>
            </w:r>
          </w:p>
        </w:tc>
        <w:tc>
          <w:tcPr>
            <w:tcW w:w="741" w:type="dxa"/>
            <w:shd w:val="clear" w:color="auto" w:fill="EBF1DE" w:themeFill="accent3" w:themeFillTint="32"/>
            <w:vAlign w:val="center"/>
          </w:tcPr>
          <w:p>
            <w:pPr>
              <w:shd w:val="clear" w:color="auto" w:fill="EBF1DE" w:themeFill="accent3" w:themeFillTint="32"/>
            </w:pPr>
            <w:r>
              <w:rPr>
                <w:rFonts w:hint="eastAsia"/>
              </w:rPr>
              <w:t>7.4</w:t>
            </w:r>
          </w:p>
        </w:tc>
        <w:tc>
          <w:tcPr>
            <w:tcW w:w="741" w:type="dxa"/>
            <w:shd w:val="clear" w:color="auto" w:fill="EBF1DE" w:themeFill="accent3" w:themeFillTint="32"/>
            <w:vAlign w:val="center"/>
          </w:tcPr>
          <w:p>
            <w:pPr>
              <w:shd w:val="clear" w:color="auto" w:fill="EBF1DE" w:themeFill="accent3" w:themeFillTint="32"/>
            </w:pPr>
            <w:r>
              <w:rPr>
                <w:rFonts w:hint="eastAsia"/>
              </w:rPr>
              <w:t>7.5</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1" w:type="dxa"/>
            <w:shd w:val="clear" w:color="auto" w:fill="EBF1DE" w:themeFill="accent3" w:themeFillTint="32"/>
            <w:vAlign w:val="center"/>
          </w:tcPr>
          <w:p>
            <w:pPr>
              <w:shd w:val="clear" w:color="auto" w:fill="EBF1DE" w:themeFill="accent3" w:themeFillTint="32"/>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1" w:type="dxa"/>
            <w:shd w:val="clear" w:color="auto" w:fill="EBF1DE" w:themeFill="accent3" w:themeFillTint="32"/>
            <w:vAlign w:val="center"/>
          </w:tcPr>
          <w:p>
            <w:pPr>
              <w:shd w:val="clear" w:color="auto" w:fill="EBF1DE" w:themeFill="accent3" w:themeFillTint="32"/>
            </w:pPr>
            <w:r>
              <w:rPr>
                <w:rFonts w:hint="eastAsia"/>
              </w:rPr>
              <w:t>8.3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6D16CC0"/>
    <w:rsid w:val="5AF13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1</TotalTime>
  <ScaleCrop>false</ScaleCrop>
  <LinksUpToDate>false</LinksUpToDate>
  <CharactersWithSpaces>26902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2022-05-14T08:26:43Z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