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江西大度家具制造有限公司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0468-2021-QEO-2022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江西省万载县工业园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谢树生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江西省万载县工业园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龙元明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15986773455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15986773455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Q:58,E:58,O:58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eastAsia="zh-CN"/>
              </w:rPr>
              <w:t>全部要素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tbl>
            <w:tblPr>
              <w:tblStyle w:val="7"/>
              <w:tblW w:w="1040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7"/>
              <w:gridCol w:w="67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027" w:type="dxa"/>
                </w:tcPr>
                <w:p>
                  <w:pPr>
                    <w:spacing w:line="280" w:lineRule="exact"/>
                    <w:rPr>
                      <w:rFonts w:hint="eastAsia" w:ascii="宋体" w:hAnsi="宋体" w:cs="Arial"/>
                      <w:b/>
                      <w:szCs w:val="24"/>
                    </w:rPr>
                  </w:pPr>
                  <w:r>
                    <w:rPr>
                      <w:rFonts w:hint="eastAsia" w:ascii="宋体" w:hAnsi="宋体" w:cs="Arial"/>
                      <w:b/>
                      <w:szCs w:val="24"/>
                    </w:rPr>
                    <w:t>管理层</w:t>
                  </w:r>
                </w:p>
                <w:p>
                  <w:pPr>
                    <w:spacing w:line="280" w:lineRule="exact"/>
                    <w:rPr>
                      <w:rFonts w:ascii="宋体" w:cs="Arial"/>
                      <w:b/>
                      <w:szCs w:val="24"/>
                    </w:rPr>
                  </w:pPr>
                  <w:r>
                    <w:rPr>
                      <w:rFonts w:hint="eastAsia" w:ascii="宋体" w:hAnsi="宋体" w:cs="Arial"/>
                      <w:b/>
                      <w:szCs w:val="24"/>
                    </w:rPr>
                    <w:t>安全事务代表</w:t>
                  </w:r>
                </w:p>
                <w:p>
                  <w:pPr>
                    <w:spacing w:line="300" w:lineRule="exact"/>
                    <w:rPr>
                      <w:rFonts w:ascii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6704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C指导A审核O体系、指导B审核QE体系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7.1.1（EO7.1）资源总则、7.4沟通/信息交流、9.3管理评审、10.1改进、10.3持续改进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Q6.3变更的策划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O5.4协商与参与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国家/地方监督抽查情况；顾客满意、相关方投诉及处理情况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，上次审核问题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验证，验证企业相关资质证明的有效性；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证书、标志使用情况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027" w:type="dxa"/>
                </w:tcPr>
                <w:p>
                  <w:pPr>
                    <w:spacing w:line="300" w:lineRule="exact"/>
                    <w:rPr>
                      <w:rFonts w:asci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cs="Arial"/>
                      <w:b/>
                      <w:szCs w:val="24"/>
                    </w:rPr>
                    <w:t>行政部</w:t>
                  </w:r>
                </w:p>
              </w:tc>
              <w:tc>
                <w:tcPr>
                  <w:tcW w:w="6704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C指导B审核QE体系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QMS:5.3组织的岗位、职责和权限、6.2质量目标、7.1.2人员、7.1.3基础设施、7.1.4过程运行环境、7.1.6组织知识、7.2能力、7.3意识、7.5 成文信息、9.1.1监视、测量、分析和评价总则、9.1.3分析与评价、9.2 内部审核、10.2不合格和纠正措施，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ascii="宋体" w:hAnsi="宋体" w:cs="Arial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EMS:5.3组织的岗位、职责和权限、6.2.1环境/职业健康安全目标、6.2.2实现环境/职业健康安全目标措施的策划、6.1.2环境因素/危险源的识别与评价、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6.1.4措施的策划、7.1资源、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7.2能力、7.3意识、7.5成文信息、8.1运行策划和控制、8.2应急准备和响应、9.2 内部审核、10.2不符合/事件和纠正措施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027" w:type="dxa"/>
                  <w:vAlign w:val="top"/>
                </w:tcPr>
                <w:p>
                  <w:pPr>
                    <w:spacing w:line="300" w:lineRule="exact"/>
                    <w:rPr>
                      <w:rFonts w:hint="eastAsia" w:ascii="宋体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cs="Arial"/>
                      <w:b/>
                      <w:szCs w:val="24"/>
                    </w:rPr>
                    <w:t>行政部</w:t>
                  </w:r>
                </w:p>
              </w:tc>
              <w:tc>
                <w:tcPr>
                  <w:tcW w:w="6704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b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OHSMS: 5.3组织的岗位、职责和权限、6.2.1环境/职业健康安全目标、6.2.2实现环境/职业健康安全目标措施的策划、6.1.2环境因素/危险源的识别与评价、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6.1.4措施的策划、7.1资源、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7.2能力、7.3意识、7.5成文信息、8.1运行策划和控制、8.2应急准备和响应、9.2 内部审核、10.2不符合/事件和纠正措施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027" w:type="dxa"/>
                  <w:vAlign w:val="top"/>
                </w:tcPr>
                <w:p>
                  <w:pPr>
                    <w:spacing w:line="300" w:lineRule="exact"/>
                    <w:rPr>
                      <w:rFonts w:hint="eastAsia" w:ascii="宋体" w:cs="Arial"/>
                      <w:b/>
                      <w:szCs w:val="24"/>
                    </w:rPr>
                  </w:pPr>
                  <w:r>
                    <w:rPr>
                      <w:rFonts w:hint="eastAsia" w:ascii="宋体" w:cs="Arial"/>
                      <w:b/>
                      <w:szCs w:val="24"/>
                    </w:rPr>
                    <w:t>供销部</w:t>
                  </w:r>
                </w:p>
              </w:tc>
              <w:tc>
                <w:tcPr>
                  <w:tcW w:w="6704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QMS:8.5销售和服务提供的控制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OHSMS:6.1.2危险源识别与评价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6.1.4措施的策划、8.1运行策划和控制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027" w:type="dxa"/>
                </w:tcPr>
                <w:p>
                  <w:pPr>
                    <w:spacing w:line="280" w:lineRule="exact"/>
                    <w:rPr>
                      <w:rFonts w:asci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szCs w:val="24"/>
                    </w:rPr>
                    <w:t>生产部及现场</w:t>
                  </w:r>
                </w:p>
              </w:tc>
              <w:tc>
                <w:tcPr>
                  <w:tcW w:w="6704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default" w:ascii="宋体" w:hAns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C指导A审核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QMS:5.3组织的岗位、职责和权限、6.2质量目标、8.1运行策划和控制、8.3产品和服务的设计和开发、8.5.1生产和服务提供的控制、8.5.2产品标识和可追朔性、8.5.4产品防护、8.5.6更改控制、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ascii="宋体" w:hAnsi="宋体" w:cs="Arial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EMS/OHSMS: 5.3组织的岗位、职责和权限、6.2.1环境/职业健康安全目标、6.2.2实现环境/职业健康安全目标措施的策划、6.1.2环境因素/危险源的识别与评价、6.1.4措施的策划、8.1运行策划和控制、8.2应急准备和响应，6.1.3合规义务、9.1.2合规性评价、9.1.1总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027" w:type="dxa"/>
                  <w:vAlign w:val="top"/>
                </w:tcPr>
                <w:p>
                  <w:pPr>
                    <w:spacing w:line="280" w:lineRule="exact"/>
                    <w:rPr>
                      <w:rFonts w:hint="eastAsia" w:ascii="宋体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cs="Arial"/>
                      <w:b/>
                      <w:szCs w:val="24"/>
                    </w:rPr>
                    <w:t>质检部</w:t>
                  </w:r>
                </w:p>
              </w:tc>
              <w:tc>
                <w:tcPr>
                  <w:tcW w:w="6704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default" w:ascii="宋体" w:hAns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C指导A审核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QMS:5.3组织的岗位、职责和权限、6.2质量目标、7.1.5监视和测量资源、8.6产品和服务的放行、8.7不合格输出控制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EMS/OHSMS: 5.3组织的岗位、职责和权限、6.1.2环境因素/危险源的识别与评价、6.1.4措施的策划、8.1运行策划和控制、8.2应急准备和响应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027" w:type="dxa"/>
                </w:tcPr>
                <w:p>
                  <w:pPr>
                    <w:spacing w:line="280" w:lineRule="exact"/>
                    <w:rPr>
                      <w:rFonts w:asci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cs="Arial"/>
                      <w:b/>
                      <w:szCs w:val="24"/>
                    </w:rPr>
                    <w:t>供销部</w:t>
                  </w:r>
                </w:p>
              </w:tc>
              <w:tc>
                <w:tcPr>
                  <w:tcW w:w="6704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QMS:5.3组织的岗位、职责和权限、6.2质量目标、8.2产品和服务的要求、8.4外部提供过程、产品和服务的控制、9.1.2顾客满意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ascii="宋体" w:hAnsi="宋体" w:cs="Arial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EMS: 5.3组织的岗位、职责和权限、6.2环境目标、6.1.2环境因素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危险源识别与评价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6.1.4措施的策划、8.1运行策划和控制、8.2应急准备和响应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pict>
                <v:shape id="_x0000_s1026" o:spid="_x0000_s1026" o:spt="75" alt="签名-褚敏杰" type="#_x0000_t75" style="position:absolute;left:0pt;margin-left:87.4pt;margin-top:12.4pt;height:31.05pt;width:51.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hromakey="#FFFFFF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2022.5.11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  <w:bookmarkStart w:id="18" w:name="_GoBack"/>
      <w:bookmarkEnd w:id="18"/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61CE77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2267</Words>
  <Characters>2469</Characters>
  <Lines>16</Lines>
  <Paragraphs>4</Paragraphs>
  <TotalTime>1</TotalTime>
  <ScaleCrop>false</ScaleCrop>
  <LinksUpToDate>false</LinksUpToDate>
  <CharactersWithSpaces>2978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2022-05-10T02:19:23Z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