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r>
        <w:rPr>
          <w:rFonts w:hint="eastAsia" w:ascii="隶书" w:hAnsi="宋体" w:eastAsia="隶书"/>
          <w:bCs/>
          <w:color w:val="000000"/>
          <w:sz w:val="36"/>
          <w:szCs w:val="36"/>
          <w:lang w:eastAsia="zh-CN"/>
        </w:rPr>
        <w:t>）</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54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45"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1175"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545" w:type="dxa"/>
            <w:vAlign w:val="center"/>
          </w:tcPr>
          <w:p>
            <w:pPr>
              <w:rPr>
                <w:rFonts w:hint="default" w:eastAsia="宋体"/>
                <w:sz w:val="21"/>
                <w:szCs w:val="21"/>
                <w:lang w:val="en-US" w:eastAsia="zh-CN"/>
              </w:rPr>
            </w:pPr>
            <w:r>
              <w:rPr>
                <w:rFonts w:hint="eastAsia"/>
                <w:sz w:val="21"/>
                <w:szCs w:val="21"/>
              </w:rPr>
              <w:t>受审核部门：</w:t>
            </w:r>
            <w:r>
              <w:rPr>
                <w:rFonts w:hint="eastAsia" w:ascii="宋体" w:hAnsi="宋体"/>
                <w:b/>
                <w:bCs/>
                <w:sz w:val="21"/>
                <w:szCs w:val="21"/>
              </w:rPr>
              <w:t>管理层</w:t>
            </w:r>
            <w:r>
              <w:rPr>
                <w:rFonts w:hint="eastAsia"/>
                <w:sz w:val="21"/>
                <w:szCs w:val="21"/>
                <w:lang w:val="en-US" w:eastAsia="zh-CN"/>
              </w:rPr>
              <w:t xml:space="preserve">                     </w:t>
            </w:r>
            <w:r>
              <w:rPr>
                <w:rFonts w:hint="eastAsia"/>
                <w:sz w:val="21"/>
                <w:szCs w:val="21"/>
              </w:rPr>
              <w:t>主管领导：龙成燕</w:t>
            </w:r>
            <w:r>
              <w:rPr>
                <w:rFonts w:hint="eastAsia"/>
                <w:sz w:val="21"/>
                <w:szCs w:val="21"/>
                <w:lang w:val="en-US" w:eastAsia="zh-CN"/>
              </w:rPr>
              <w:t xml:space="preserve">      </w:t>
            </w:r>
            <w:r>
              <w:rPr>
                <w:rFonts w:hint="eastAsia"/>
                <w:sz w:val="21"/>
                <w:szCs w:val="21"/>
              </w:rPr>
              <w:t>陪同人员：龙元明</w:t>
            </w:r>
            <w:r>
              <w:rPr>
                <w:rFonts w:hint="eastAsia"/>
                <w:sz w:val="21"/>
                <w:szCs w:val="21"/>
                <w:lang w:val="en-US" w:eastAsia="zh-CN"/>
              </w:rPr>
              <w:t xml:space="preserve">  </w:t>
            </w:r>
          </w:p>
        </w:tc>
        <w:tc>
          <w:tcPr>
            <w:tcW w:w="1044"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45" w:type="dxa"/>
            <w:vMerge w:val="continue"/>
            <w:vAlign w:val="center"/>
          </w:tcPr>
          <w:p>
            <w:pPr>
              <w:spacing w:line="360" w:lineRule="auto"/>
              <w:rPr>
                <w:sz w:val="21"/>
                <w:szCs w:val="21"/>
              </w:rPr>
            </w:pPr>
          </w:p>
        </w:tc>
        <w:tc>
          <w:tcPr>
            <w:tcW w:w="1175" w:type="dxa"/>
            <w:vMerge w:val="continue"/>
            <w:vAlign w:val="center"/>
          </w:tcPr>
          <w:p>
            <w:pPr>
              <w:spacing w:line="360" w:lineRule="auto"/>
              <w:rPr>
                <w:sz w:val="21"/>
                <w:szCs w:val="21"/>
              </w:rPr>
            </w:pPr>
          </w:p>
        </w:tc>
        <w:tc>
          <w:tcPr>
            <w:tcW w:w="10545" w:type="dxa"/>
            <w:vAlign w:val="center"/>
          </w:tcPr>
          <w:p>
            <w:pPr>
              <w:spacing w:before="120"/>
              <w:rPr>
                <w:rFonts w:hint="default" w:eastAsia="宋体"/>
                <w:sz w:val="21"/>
                <w:szCs w:val="21"/>
                <w:lang w:val="en-US" w:eastAsia="zh-CN"/>
              </w:rPr>
            </w:pPr>
            <w:r>
              <w:rPr>
                <w:rFonts w:hint="eastAsia"/>
                <w:sz w:val="21"/>
                <w:szCs w:val="21"/>
              </w:rPr>
              <w:t>审核员：王景玲</w:t>
            </w:r>
            <w:r>
              <w:rPr>
                <w:rFonts w:hint="eastAsia"/>
                <w:sz w:val="21"/>
                <w:szCs w:val="21"/>
                <w:lang w:eastAsia="zh-CN"/>
              </w:rPr>
              <w:t>、</w:t>
            </w:r>
            <w:r>
              <w:rPr>
                <w:rFonts w:hint="eastAsia"/>
                <w:sz w:val="21"/>
                <w:szCs w:val="21"/>
                <w:lang w:val="de-DE"/>
              </w:rPr>
              <w:t>高燕华</w:t>
            </w:r>
            <w:r>
              <w:rPr>
                <w:rFonts w:hint="eastAsia"/>
                <w:sz w:val="21"/>
                <w:szCs w:val="21"/>
                <w:lang w:val="de-DE" w:eastAsia="zh-CN"/>
              </w:rPr>
              <w:t>（</w:t>
            </w:r>
            <w:r>
              <w:rPr>
                <w:rFonts w:hint="eastAsia"/>
                <w:sz w:val="21"/>
                <w:szCs w:val="21"/>
                <w:lang w:val="en-US" w:eastAsia="zh-CN"/>
              </w:rPr>
              <w:t>专家</w:t>
            </w:r>
            <w:r>
              <w:rPr>
                <w:rFonts w:hint="eastAsia"/>
                <w:sz w:val="21"/>
                <w:szCs w:val="21"/>
                <w:lang w:val="de-DE" w:eastAsia="zh-CN"/>
              </w:rPr>
              <w:t>）</w:t>
            </w:r>
            <w:r>
              <w:rPr>
                <w:rFonts w:hint="eastAsia"/>
                <w:sz w:val="21"/>
                <w:szCs w:val="21"/>
                <w:lang w:val="en-US" w:eastAsia="zh-CN"/>
              </w:rPr>
              <w:t xml:space="preserve">         </w:t>
            </w:r>
            <w:r>
              <w:rPr>
                <w:rFonts w:hint="eastAsia"/>
                <w:sz w:val="21"/>
                <w:szCs w:val="21"/>
              </w:rPr>
              <w:t>审核时间：</w:t>
            </w:r>
            <w:r>
              <w:rPr>
                <w:rFonts w:hint="eastAsia" w:ascii="宋体" w:hAnsi="宋体" w:eastAsia="宋体" w:cs="Arial"/>
                <w:color w:val="auto"/>
                <w:spacing w:val="-6"/>
                <w:sz w:val="21"/>
                <w:szCs w:val="21"/>
              </w:rPr>
              <w:t>2022年0</w:t>
            </w:r>
            <w:r>
              <w:rPr>
                <w:rFonts w:hint="eastAsia" w:ascii="宋体" w:hAnsi="宋体" w:cs="Arial"/>
                <w:color w:val="auto"/>
                <w:spacing w:val="-6"/>
                <w:sz w:val="21"/>
                <w:szCs w:val="21"/>
                <w:lang w:val="en-US" w:eastAsia="zh-CN"/>
              </w:rPr>
              <w:t>5</w:t>
            </w:r>
            <w:r>
              <w:rPr>
                <w:rFonts w:hint="eastAsia" w:ascii="宋体" w:hAnsi="宋体" w:eastAsia="宋体" w:cs="Arial"/>
                <w:color w:val="auto"/>
                <w:spacing w:val="-6"/>
                <w:sz w:val="21"/>
                <w:szCs w:val="21"/>
              </w:rPr>
              <w:t>月</w:t>
            </w:r>
            <w:r>
              <w:rPr>
                <w:rFonts w:hint="eastAsia" w:ascii="宋体" w:hAnsi="宋体" w:cs="Arial"/>
                <w:color w:val="auto"/>
                <w:spacing w:val="-6"/>
                <w:sz w:val="21"/>
                <w:szCs w:val="21"/>
                <w:lang w:val="en-US" w:eastAsia="zh-CN"/>
              </w:rPr>
              <w:t>10</w:t>
            </w:r>
            <w:r>
              <w:rPr>
                <w:rFonts w:hint="eastAsia" w:ascii="宋体" w:hAnsi="宋体" w:eastAsia="宋体" w:cs="Arial"/>
                <w:color w:val="auto"/>
                <w:spacing w:val="-6"/>
                <w:sz w:val="21"/>
                <w:szCs w:val="21"/>
              </w:rPr>
              <w:t>日 下午</w:t>
            </w:r>
          </w:p>
        </w:tc>
        <w:tc>
          <w:tcPr>
            <w:tcW w:w="1044"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45" w:type="dxa"/>
            <w:vMerge w:val="continue"/>
            <w:vAlign w:val="center"/>
          </w:tcPr>
          <w:p>
            <w:pPr>
              <w:spacing w:line="360" w:lineRule="auto"/>
              <w:rPr>
                <w:sz w:val="21"/>
                <w:szCs w:val="21"/>
              </w:rPr>
            </w:pPr>
          </w:p>
        </w:tc>
        <w:tc>
          <w:tcPr>
            <w:tcW w:w="1175" w:type="dxa"/>
            <w:vMerge w:val="continue"/>
            <w:vAlign w:val="center"/>
          </w:tcPr>
          <w:p>
            <w:pPr>
              <w:spacing w:line="360" w:lineRule="auto"/>
              <w:rPr>
                <w:sz w:val="21"/>
                <w:szCs w:val="21"/>
              </w:rPr>
            </w:pPr>
          </w:p>
        </w:tc>
        <w:tc>
          <w:tcPr>
            <w:tcW w:w="10545" w:type="dxa"/>
            <w:vAlign w:val="center"/>
          </w:tcPr>
          <w:p>
            <w:pPr>
              <w:spacing w:line="360" w:lineRule="auto"/>
              <w:rPr>
                <w:rFonts w:hint="eastAsia"/>
                <w:sz w:val="21"/>
                <w:szCs w:val="21"/>
              </w:rPr>
            </w:pPr>
            <w:r>
              <w:rPr>
                <w:rFonts w:hint="eastAsia"/>
                <w:sz w:val="21"/>
                <w:szCs w:val="21"/>
              </w:rPr>
              <w:t>审核条款：</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QE:4.1理解组织及其环境、4.2理解相关方的需求和期望、4.3确定管理体系的范围、4.4质量/环境</w:t>
            </w:r>
            <w:r>
              <w:rPr>
                <w:rFonts w:hint="eastAsia" w:ascii="宋体" w:hAnsi="宋体" w:eastAsia="宋体" w:cs="Arial"/>
                <w:color w:val="auto"/>
                <w:spacing w:val="-6"/>
                <w:sz w:val="21"/>
                <w:szCs w:val="21"/>
                <w:lang w:val="en-US" w:eastAsia="zh-CN"/>
              </w:rPr>
              <w:t>/职业健康安全</w:t>
            </w:r>
            <w:r>
              <w:rPr>
                <w:rFonts w:hint="eastAsia" w:ascii="宋体" w:hAnsi="宋体" w:eastAsia="宋体" w:cs="Arial"/>
                <w:color w:val="auto"/>
                <w:spacing w:val="-6"/>
                <w:sz w:val="21"/>
                <w:szCs w:val="21"/>
              </w:rPr>
              <w:t>管理体系及其过程、</w:t>
            </w:r>
            <w:r>
              <w:rPr>
                <w:rFonts w:hint="eastAsia" w:ascii="宋体" w:hAnsi="宋体" w:eastAsia="宋体" w:cs="Arial"/>
                <w:color w:val="auto"/>
                <w:spacing w:val="-6"/>
                <w:sz w:val="21"/>
                <w:szCs w:val="21"/>
                <w:lang w:val="en-US" w:eastAsia="zh-CN"/>
              </w:rPr>
              <w:t>5.1领导作用、</w:t>
            </w:r>
            <w:r>
              <w:rPr>
                <w:rFonts w:hint="eastAsia" w:ascii="宋体" w:hAnsi="宋体" w:eastAsia="宋体" w:cs="Arial"/>
                <w:color w:val="auto"/>
                <w:spacing w:val="-6"/>
                <w:sz w:val="21"/>
                <w:szCs w:val="21"/>
              </w:rPr>
              <w:t>5.2质量/环境</w:t>
            </w:r>
            <w:r>
              <w:rPr>
                <w:rFonts w:hint="eastAsia" w:ascii="宋体" w:hAnsi="宋体" w:eastAsia="宋体" w:cs="Arial"/>
                <w:color w:val="auto"/>
                <w:spacing w:val="-6"/>
                <w:sz w:val="21"/>
                <w:szCs w:val="21"/>
                <w:lang w:val="en-US" w:eastAsia="zh-CN"/>
              </w:rPr>
              <w:t>/职业健康安全</w:t>
            </w:r>
            <w:r>
              <w:rPr>
                <w:rFonts w:hint="eastAsia" w:ascii="宋体" w:hAnsi="宋体" w:eastAsia="宋体" w:cs="Arial"/>
                <w:color w:val="auto"/>
                <w:spacing w:val="-6"/>
                <w:sz w:val="21"/>
                <w:szCs w:val="21"/>
              </w:rPr>
              <w:t>方针、5.3组织的岗位、职责和权限、6.1应对风险和机遇的措施、6.2质量/环境</w:t>
            </w:r>
            <w:r>
              <w:rPr>
                <w:rFonts w:hint="eastAsia" w:ascii="宋体" w:hAnsi="宋体" w:eastAsia="宋体" w:cs="Arial"/>
                <w:color w:val="auto"/>
                <w:spacing w:val="-6"/>
                <w:sz w:val="21"/>
                <w:szCs w:val="21"/>
                <w:lang w:val="en-US" w:eastAsia="zh-CN"/>
              </w:rPr>
              <w:t>/职业健康安全</w:t>
            </w:r>
            <w:r>
              <w:rPr>
                <w:rFonts w:hint="eastAsia" w:ascii="宋体" w:hAnsi="宋体" w:eastAsia="宋体" w:cs="Arial"/>
                <w:color w:val="auto"/>
                <w:spacing w:val="-6"/>
                <w:sz w:val="21"/>
                <w:szCs w:val="21"/>
              </w:rPr>
              <w:t>目标及其实现的策划、7.1.1（E7.1）资源总则、7.4沟通/信息交流、9.3管理评审、10</w:t>
            </w:r>
            <w:r>
              <w:rPr>
                <w:rFonts w:hint="eastAsia" w:ascii="宋体" w:hAnsi="宋体" w:cs="Arial"/>
                <w:color w:val="auto"/>
                <w:spacing w:val="-6"/>
                <w:sz w:val="21"/>
                <w:szCs w:val="21"/>
                <w:lang w:val="en-US" w:eastAsia="zh-CN"/>
              </w:rPr>
              <w:t>.1改进、10.3</w:t>
            </w:r>
            <w:r>
              <w:rPr>
                <w:rFonts w:hint="eastAsia" w:ascii="宋体" w:hAnsi="宋体" w:eastAsia="宋体" w:cs="Arial"/>
                <w:color w:val="auto"/>
                <w:spacing w:val="-6"/>
                <w:sz w:val="21"/>
                <w:szCs w:val="21"/>
              </w:rPr>
              <w:t>持续改进</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Q6.3变更的策划</w:t>
            </w:r>
          </w:p>
          <w:p>
            <w:pPr>
              <w:adjustRightInd w:val="0"/>
              <w:snapToGrid w:val="0"/>
              <w:spacing w:line="360" w:lineRule="auto"/>
              <w:ind w:right="105" w:rightChars="50"/>
              <w:textAlignment w:val="baseline"/>
              <w:rPr>
                <w:sz w:val="21"/>
                <w:szCs w:val="21"/>
              </w:rPr>
            </w:pPr>
            <w:r>
              <w:rPr>
                <w:rFonts w:hint="eastAsia" w:ascii="宋体" w:hAnsi="宋体" w:eastAsia="宋体" w:cs="Arial"/>
                <w:color w:val="auto"/>
                <w:spacing w:val="-6"/>
                <w:sz w:val="21"/>
                <w:szCs w:val="21"/>
              </w:rPr>
              <w:t>标准/规范/法规的执行情况、</w:t>
            </w:r>
            <w:r>
              <w:rPr>
                <w:rFonts w:hint="eastAsia" w:ascii="宋体" w:hAnsi="宋体" w:eastAsia="宋体" w:cs="Arial"/>
                <w:color w:val="auto"/>
                <w:spacing w:val="-6"/>
                <w:sz w:val="21"/>
                <w:szCs w:val="21"/>
                <w:lang w:val="en-US" w:eastAsia="zh-CN"/>
              </w:rPr>
              <w:t>上次</w:t>
            </w:r>
            <w:r>
              <w:rPr>
                <w:rFonts w:hint="eastAsia" w:ascii="宋体" w:hAnsi="宋体" w:eastAsia="宋体" w:cs="Arial"/>
                <w:color w:val="auto"/>
                <w:spacing w:val="-6"/>
                <w:sz w:val="21"/>
                <w:szCs w:val="21"/>
              </w:rPr>
              <w:t>审核不符合项的验证、认证证书、标志的使用情况、投诉或事故、监督抽查情况</w:t>
            </w:r>
          </w:p>
        </w:tc>
        <w:tc>
          <w:tcPr>
            <w:tcW w:w="1044"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理解组织及其环境</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QE:4.1</w:t>
            </w:r>
          </w:p>
        </w:tc>
        <w:tc>
          <w:tcPr>
            <w:tcW w:w="10545" w:type="dxa"/>
          </w:tcPr>
          <w:p>
            <w:pPr>
              <w:adjustRightInd w:val="0"/>
              <w:snapToGrid w:val="0"/>
              <w:spacing w:line="360" w:lineRule="auto"/>
              <w:ind w:right="105" w:rightChars="50" w:firstLine="396" w:firstLineChars="200"/>
              <w:textAlignment w:val="baseline"/>
              <w:rPr>
                <w:rFonts w:hint="eastAsia"/>
                <w:sz w:val="21"/>
                <w:szCs w:val="21"/>
                <w:highlight w:val="none"/>
                <w:lang w:eastAsia="zh-CN"/>
              </w:rPr>
            </w:pPr>
            <w:r>
              <w:rPr>
                <w:rFonts w:hint="eastAsia" w:ascii="宋体" w:hAnsi="宋体" w:eastAsia="宋体" w:cs="Arial"/>
                <w:color w:val="auto"/>
                <w:spacing w:val="-6"/>
                <w:sz w:val="21"/>
                <w:szCs w:val="21"/>
                <w:lang w:eastAsia="zh-CN"/>
              </w:rPr>
              <w:t>江西大度家具制造有限公司</w:t>
            </w:r>
            <w:r>
              <w:rPr>
                <w:rFonts w:hint="eastAsia"/>
                <w:sz w:val="21"/>
                <w:szCs w:val="21"/>
                <w:highlight w:val="none"/>
                <w:lang w:val="zh-CN"/>
              </w:rPr>
              <w:t>成立于20</w:t>
            </w:r>
            <w:r>
              <w:rPr>
                <w:rFonts w:hint="eastAsia"/>
                <w:sz w:val="21"/>
                <w:szCs w:val="21"/>
                <w:highlight w:val="none"/>
                <w:lang w:val="en-US" w:eastAsia="zh-CN"/>
              </w:rPr>
              <w:t>15</w:t>
            </w:r>
            <w:r>
              <w:rPr>
                <w:rFonts w:hint="eastAsia"/>
                <w:sz w:val="21"/>
                <w:szCs w:val="21"/>
                <w:highlight w:val="none"/>
                <w:lang w:val="zh-CN"/>
              </w:rPr>
              <w:t>年</w:t>
            </w:r>
            <w:r>
              <w:rPr>
                <w:rFonts w:hint="eastAsia"/>
                <w:sz w:val="21"/>
                <w:szCs w:val="21"/>
                <w:highlight w:val="none"/>
                <w:lang w:val="en-US" w:eastAsia="zh-CN"/>
              </w:rPr>
              <w:t>10</w:t>
            </w:r>
            <w:r>
              <w:rPr>
                <w:rFonts w:hint="eastAsia"/>
                <w:sz w:val="21"/>
                <w:szCs w:val="21"/>
                <w:highlight w:val="none"/>
                <w:lang w:val="zh-CN"/>
              </w:rPr>
              <w:t>月，</w:t>
            </w:r>
            <w:r>
              <w:rPr>
                <w:rFonts w:hint="eastAsia"/>
                <w:sz w:val="21"/>
                <w:szCs w:val="21"/>
                <w:highlight w:val="none"/>
              </w:rPr>
              <w:t>注册资金</w:t>
            </w:r>
            <w:r>
              <w:rPr>
                <w:rFonts w:hint="eastAsia"/>
                <w:sz w:val="21"/>
                <w:szCs w:val="21"/>
                <w:highlight w:val="none"/>
                <w:lang w:val="en-US" w:eastAsia="zh-CN"/>
              </w:rPr>
              <w:t>2000</w:t>
            </w:r>
            <w:r>
              <w:rPr>
                <w:rFonts w:hint="eastAsia"/>
                <w:sz w:val="21"/>
                <w:szCs w:val="21"/>
                <w:highlight w:val="none"/>
              </w:rPr>
              <w:t>万元</w:t>
            </w:r>
            <w:r>
              <w:rPr>
                <w:rFonts w:hint="eastAsia"/>
                <w:sz w:val="21"/>
                <w:szCs w:val="21"/>
                <w:highlight w:val="none"/>
                <w:lang w:eastAsia="zh-CN"/>
              </w:rPr>
              <w:t>；</w:t>
            </w:r>
          </w:p>
          <w:p>
            <w:pPr>
              <w:spacing w:line="360" w:lineRule="auto"/>
              <w:ind w:firstLine="420" w:firstLineChars="200"/>
              <w:rPr>
                <w:rFonts w:hint="eastAsia"/>
                <w:color w:val="0000FF"/>
                <w:sz w:val="21"/>
                <w:szCs w:val="21"/>
                <w:highlight w:val="none"/>
                <w:lang w:val="en-US" w:eastAsia="zh-CN"/>
              </w:rPr>
            </w:pPr>
            <w:r>
              <w:rPr>
                <w:rFonts w:hint="eastAsia"/>
                <w:sz w:val="21"/>
                <w:szCs w:val="21"/>
                <w:highlight w:val="none"/>
                <w:lang w:val="en-US" w:eastAsia="zh-CN"/>
              </w:rPr>
              <w:t>公司位于</w:t>
            </w:r>
            <w:bookmarkStart w:id="0" w:name="注册地址"/>
            <w:r>
              <w:rPr>
                <w:rFonts w:hint="eastAsia"/>
                <w:sz w:val="21"/>
                <w:szCs w:val="21"/>
                <w:highlight w:val="none"/>
                <w:lang w:val="en-US" w:eastAsia="zh-CN"/>
              </w:rPr>
              <w:t>江西省万载县工业园</w:t>
            </w:r>
            <w:bookmarkEnd w:id="0"/>
            <w:r>
              <w:rPr>
                <w:rFonts w:hint="eastAsia"/>
                <w:sz w:val="21"/>
                <w:szCs w:val="21"/>
                <w:highlight w:val="none"/>
                <w:lang w:val="en-US" w:eastAsia="zh-CN"/>
              </w:rPr>
              <w:t>，</w:t>
            </w:r>
            <w:r>
              <w:rPr>
                <w:rFonts w:hint="eastAsia"/>
                <w:lang w:val="en-US" w:eastAsia="zh-CN"/>
              </w:rPr>
              <w:t>厂房 面积5万余平，是一家拥有三座大型现代化标准厂房，办公楼占地面积1000平方左右，展厅占地面积500平方左右</w:t>
            </w:r>
            <w:r>
              <w:rPr>
                <w:rFonts w:hint="eastAsia"/>
                <w:color w:val="0000FF"/>
                <w:sz w:val="21"/>
                <w:szCs w:val="21"/>
                <w:highlight w:val="none"/>
                <w:lang w:val="en-US" w:eastAsia="zh-CN"/>
              </w:rPr>
              <w:t>；</w:t>
            </w:r>
          </w:p>
          <w:p>
            <w:pPr>
              <w:spacing w:line="360" w:lineRule="auto"/>
              <w:ind w:firstLine="420" w:firstLineChars="200"/>
              <w:rPr>
                <w:rFonts w:hint="eastAsia"/>
                <w:lang w:val="en-US" w:eastAsia="zh-CN"/>
              </w:rPr>
            </w:pPr>
            <w:r>
              <w:rPr>
                <w:rFonts w:hint="eastAsia"/>
                <w:lang w:val="en-US" w:eastAsia="zh-CN"/>
              </w:rPr>
              <w:t>现有职工58人，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主要设备：自动喷涂线、数控铣床、激光切割机、二段冲床、废气处理设备、板料折弯机等；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主要检测设备包括：游标卡尺、卷尺、数显卡尺等；</w:t>
            </w:r>
          </w:p>
          <w:p>
            <w:pPr>
              <w:pStyle w:val="2"/>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安全环保设施包括：灭火器、除尘布袋、废气处理设备、污水处理设备、个体防护用品、垃圾桶等；</w:t>
            </w:r>
          </w:p>
          <w:p>
            <w:pPr>
              <w:spacing w:line="360" w:lineRule="auto"/>
              <w:ind w:firstLine="420" w:firstLineChars="200"/>
              <w:rPr>
                <w:rFonts w:hint="eastAsia"/>
                <w:color w:val="0000FF"/>
                <w:sz w:val="21"/>
                <w:szCs w:val="21"/>
                <w:highlight w:val="none"/>
                <w:lang w:eastAsia="zh-CN"/>
              </w:rPr>
            </w:pPr>
            <w:r>
              <w:rPr>
                <w:rFonts w:hint="eastAsia"/>
                <w:sz w:val="21"/>
                <w:szCs w:val="21"/>
                <w:highlight w:val="none"/>
                <w:lang w:val="en-US" w:eastAsia="zh-CN"/>
              </w:rPr>
              <w:t>公司</w:t>
            </w:r>
            <w:r>
              <w:rPr>
                <w:rFonts w:hint="eastAsia" w:ascii="宋体" w:hAnsi="宋体" w:cs="Arial"/>
                <w:color w:val="auto"/>
                <w:spacing w:val="-6"/>
                <w:sz w:val="21"/>
                <w:szCs w:val="21"/>
                <w:lang w:val="en-US" w:eastAsia="zh-CN"/>
              </w:rPr>
              <w:t>从事货架的设计、生产、销售服务；金属家具、木制家具、校园家具的销售的企业。</w:t>
            </w:r>
          </w:p>
          <w:p>
            <w:pPr>
              <w:spacing w:line="360" w:lineRule="auto"/>
              <w:ind w:firstLine="420" w:firstLineChars="200"/>
              <w:rPr>
                <w:rFonts w:hint="eastAsia"/>
                <w:sz w:val="21"/>
                <w:szCs w:val="21"/>
                <w:highlight w:val="none"/>
              </w:rPr>
            </w:pPr>
            <w:r>
              <w:rPr>
                <w:rFonts w:hint="eastAsia"/>
                <w:sz w:val="21"/>
                <w:szCs w:val="21"/>
                <w:highlight w:val="none"/>
              </w:rPr>
              <w:t>公司设置有</w:t>
            </w:r>
            <w:r>
              <w:rPr>
                <w:rFonts w:hint="eastAsia"/>
                <w:sz w:val="21"/>
                <w:szCs w:val="21"/>
                <w:highlight w:val="none"/>
                <w:lang w:val="en-US" w:eastAsia="zh-CN"/>
              </w:rPr>
              <w:t>行政部</w:t>
            </w:r>
            <w:r>
              <w:rPr>
                <w:rFonts w:hint="eastAsia"/>
                <w:sz w:val="21"/>
                <w:szCs w:val="21"/>
                <w:highlight w:val="none"/>
                <w:lang w:eastAsia="zh-CN"/>
              </w:rPr>
              <w:t>、</w:t>
            </w:r>
            <w:r>
              <w:rPr>
                <w:rFonts w:hint="eastAsia"/>
                <w:sz w:val="21"/>
                <w:szCs w:val="21"/>
                <w:highlight w:val="none"/>
              </w:rPr>
              <w:t>生产部</w:t>
            </w:r>
            <w:r>
              <w:rPr>
                <w:rFonts w:hint="eastAsia"/>
                <w:sz w:val="21"/>
                <w:szCs w:val="21"/>
                <w:highlight w:val="none"/>
                <w:lang w:eastAsia="zh-CN"/>
              </w:rPr>
              <w:t>、</w:t>
            </w:r>
            <w:r>
              <w:rPr>
                <w:rFonts w:hint="eastAsia"/>
                <w:sz w:val="21"/>
                <w:szCs w:val="21"/>
                <w:highlight w:val="none"/>
              </w:rPr>
              <w:t>供销部</w:t>
            </w:r>
            <w:r>
              <w:rPr>
                <w:rFonts w:hint="eastAsia"/>
                <w:sz w:val="21"/>
                <w:szCs w:val="21"/>
                <w:highlight w:val="none"/>
                <w:lang w:eastAsia="zh-CN"/>
              </w:rPr>
              <w:t>、</w:t>
            </w:r>
            <w:r>
              <w:rPr>
                <w:rFonts w:hint="eastAsia"/>
                <w:sz w:val="21"/>
                <w:szCs w:val="21"/>
                <w:highlight w:val="none"/>
                <w:lang w:val="en-US" w:eastAsia="zh-CN"/>
              </w:rPr>
              <w:t>质检部</w:t>
            </w:r>
            <w:r>
              <w:rPr>
                <w:rFonts w:hint="eastAsia"/>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cs="Arial"/>
                <w:color w:val="auto"/>
                <w:spacing w:val="-6"/>
                <w:sz w:val="21"/>
                <w:szCs w:val="21"/>
                <w:highlight w:val="none"/>
                <w:lang w:val="en-US" w:eastAsia="zh-CN"/>
              </w:rPr>
              <w:t>公司</w:t>
            </w:r>
            <w:r>
              <w:rPr>
                <w:rFonts w:hint="eastAsia" w:ascii="宋体" w:hAnsi="宋体" w:eastAsia="宋体" w:cs="Arial"/>
                <w:color w:val="auto"/>
                <w:spacing w:val="-6"/>
                <w:sz w:val="21"/>
                <w:szCs w:val="21"/>
                <w:highlight w:val="none"/>
              </w:rPr>
              <w:t>定期汇总分析市场情况，包括行业发展情况，相关企业产品分析，竞品分析，</w:t>
            </w:r>
            <w:r>
              <w:rPr>
                <w:rFonts w:hint="eastAsia" w:ascii="宋体" w:hAnsi="宋体" w:cs="Arial"/>
                <w:color w:val="auto"/>
                <w:spacing w:val="-6"/>
                <w:sz w:val="21"/>
                <w:szCs w:val="21"/>
                <w:highlight w:val="none"/>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highlight w:val="none"/>
                <w:lang w:eastAsia="zh-CN"/>
              </w:rPr>
              <w:t>，</w:t>
            </w:r>
            <w:r>
              <w:rPr>
                <w:rFonts w:hint="eastAsia" w:ascii="宋体" w:hAnsi="宋体" w:cs="Arial"/>
                <w:color w:val="auto"/>
                <w:spacing w:val="-6"/>
                <w:sz w:val="21"/>
                <w:szCs w:val="21"/>
                <w:highlight w:val="none"/>
              </w:rPr>
              <w:t>如</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外部因素——国际经济政治形势、材料价格变动、竞争对手、客户需求的变化、新技术的采用等；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内部因素有-公司文化、内部管理机制的建立、人员稳定性、员工年龄、经验等；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rPr>
            </w:pPr>
            <w:r>
              <w:rPr>
                <w:rFonts w:hint="eastAsia" w:ascii="宋体" w:hAnsi="宋体" w:eastAsia="宋体" w:cs="Arial"/>
                <w:color w:val="auto"/>
                <w:spacing w:val="-6"/>
                <w:sz w:val="21"/>
                <w:szCs w:val="21"/>
                <w:highlight w:val="none"/>
              </w:rPr>
              <w:t>这些因素包括了需要考虑的正面和负面因素或条件。</w:t>
            </w:r>
          </w:p>
          <w:p>
            <w:pPr>
              <w:adjustRightInd w:val="0"/>
              <w:snapToGrid w:val="0"/>
              <w:spacing w:line="360" w:lineRule="auto"/>
              <w:ind w:right="105" w:rightChars="50" w:firstLine="396" w:firstLineChars="200"/>
              <w:textAlignment w:val="baseline"/>
              <w:rPr>
                <w:rFonts w:hint="eastAsia"/>
                <w:sz w:val="21"/>
                <w:szCs w:val="21"/>
                <w:highlight w:val="none"/>
              </w:rPr>
            </w:pPr>
            <w:r>
              <w:rPr>
                <w:rFonts w:hint="eastAsia" w:ascii="宋体" w:hAnsi="宋体" w:eastAsia="宋体" w:cs="Arial"/>
                <w:color w:val="auto"/>
                <w:spacing w:val="-6"/>
                <w:sz w:val="21"/>
                <w:szCs w:val="21"/>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理解相关方的需求和期望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4.2</w:t>
            </w:r>
          </w:p>
        </w:tc>
        <w:tc>
          <w:tcPr>
            <w:tcW w:w="10545"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供销部门和相关职能部门通过日常例会、市场活动、现场拜访、产品展销会、客户调查等多种渠道和方式方法随时了解相关方的需求和期望。做为公司经营风险分析和发展机遇的可利用资源。</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与公司高管交流，内外部相关方需求分析到位。口头交流。</w:t>
            </w:r>
          </w:p>
          <w:p>
            <w:pPr>
              <w:adjustRightInd w:val="0"/>
              <w:snapToGrid w:val="0"/>
              <w:spacing w:line="360" w:lineRule="auto"/>
              <w:ind w:right="105" w:rightChars="50" w:firstLine="396" w:firstLineChars="200"/>
              <w:textAlignment w:val="baseline"/>
              <w:rPr>
                <w:rFonts w:hint="default" w:eastAsia="宋体"/>
                <w:sz w:val="21"/>
                <w:szCs w:val="21"/>
                <w:lang w:val="en-US" w:eastAsia="zh-CN"/>
              </w:rPr>
            </w:pPr>
            <w:r>
              <w:rPr>
                <w:rFonts w:hint="eastAsia" w:ascii="宋体" w:hAnsi="宋体" w:cs="Arial"/>
                <w:color w:val="auto"/>
                <w:spacing w:val="-6"/>
                <w:sz w:val="21"/>
                <w:szCs w:val="21"/>
                <w:highlight w:val="none"/>
                <w:lang w:val="en-US" w:eastAsia="zh-CN"/>
              </w:rPr>
              <w:t>内外部环境要素识别与评估：在每年的管理评审前，由相关部门负责人进行识别并评估其适宜性。以便于持续满足相关方的需求和期望。</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default" w:ascii="宋体" w:hAnsi="宋体" w:eastAsia="宋体" w:cs="Arial"/>
                <w:spacing w:val="-6"/>
                <w:sz w:val="21"/>
                <w:szCs w:val="21"/>
                <w:lang w:val="en-US" w:eastAsia="zh-CN"/>
              </w:rPr>
              <w:t>变更的策划</w:t>
            </w:r>
          </w:p>
        </w:tc>
        <w:tc>
          <w:tcPr>
            <w:tcW w:w="117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6.3</w:t>
            </w:r>
          </w:p>
        </w:tc>
        <w:tc>
          <w:tcPr>
            <w:tcW w:w="10545"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公司基于对4.1和4.2的考虑，分析了存在的风险和机遇：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存在的机遇：国家整体经济的发展要求对整个行业的发展总体是利好；公司在行业内从业十几年，有着良好的口碑；给公司的发展带来了机遇。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存在的风险：主要来自竞争对手的竞争，行业入门容易、技术含量低，原材料价格波动影响成本；</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重要环境因素：固废/危废排放、潜在火灾、废气/粉尘排放、噪音排放，基本合理。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控制措施：一般固废集中收集外售至废品回收站；危废委托有资质单位回收；选用低噪声设备，合理布局，隔声减震，厂房隔音；粉尘经集尘罩除尘器处理；设备、电路定期检修、不定期检查，提高安全意识；做好火灾预防措施。一旦发生按相关应急预案执行；制定目标、指标；设备、电路定期检修、降低跑冒滴漏。</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为应对上述的风险和机遇，公司依据ISO9001：2015、ISO14001：2015、ISO45001：2018标准的要求并结合本公司的具体情况，采取PDCA的过程方法，建立、实施、保持并持续改进质量、环境、职业健康安全管理体系。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保持《管理手册  DDJJ-SC-2020》A/0    实施日期：2020年11月15日；</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保持程序文件27个，版本号：A/0；废弃物控制程序、噪声控制程序、消防控制程序、资源能源控制程序、应急准备和响应控制程序、顾客满意度控制程序、采购控制程序、生产和服务管理控制程序、设计开发控制程序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生产工艺文件、质量检验管理规定、安全生产检查及隐患治理规定、生产现场管理规定、环境保护管理规定、操作规程等；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建立有外来文件清单，收集相关法律法规和产品标准-金属家具通用技术条件GB/T3325-2017、金属轻型组合货架SB/T10166-1993、学生公寓多功能家具QB/T2741-2013、木家具通用技术条件GB/T3324-2017等；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文件化管理体系目前基本满足要求。</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本公司识别并确定了如下分工及过程：采购过程、生产过程、销售过程、检验与交付过程、绩效分析、评价与改进等多个过程。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业务流程如下：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 xml:space="preserve">生产工艺流程图 </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原材料检验—剪板下料—冲孔、折弯—焊接—酸洗、磷化—静电喷涂—烘干固化—包装</w:t>
            </w:r>
            <w:r>
              <w:rPr>
                <w:rFonts w:hint="eastAsia" w:ascii="宋体" w:hAnsi="宋体" w:cs="Arial"/>
                <w:color w:val="auto"/>
                <w:spacing w:val="-6"/>
                <w:sz w:val="21"/>
                <w:szCs w:val="21"/>
                <w:highlight w:val="none"/>
                <w:lang w:val="en-US" w:eastAsia="zh-CN"/>
              </w:rPr>
              <w:tab/>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 xml:space="preserve">销售流程图 </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产品要求信息获取----产品要求评审-----签订合同----采购 -----质检------销售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管理手册中确定的认证范围：</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Q：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E：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所涉及场所的相关环境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无不适用条款。</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经确认无外包过程。</w:t>
            </w:r>
            <w:bookmarkStart w:id="1" w:name="_GoBack"/>
            <w:bookmarkEnd w:id="1"/>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管理体系建立以来无变更。</w:t>
            </w:r>
          </w:p>
          <w:p>
            <w:pPr>
              <w:adjustRightInd w:val="0"/>
              <w:snapToGrid w:val="0"/>
              <w:spacing w:line="360" w:lineRule="auto"/>
              <w:ind w:right="105" w:rightChars="50" w:firstLine="396" w:firstLineChars="200"/>
              <w:textAlignment w:val="baseline"/>
              <w:rPr>
                <w:color w:val="auto"/>
                <w:sz w:val="21"/>
                <w:szCs w:val="21"/>
              </w:rPr>
            </w:pPr>
            <w:r>
              <w:rPr>
                <w:rFonts w:hint="eastAsia" w:ascii="宋体" w:hAnsi="宋体" w:cs="Arial"/>
                <w:color w:val="auto"/>
                <w:spacing w:val="-6"/>
                <w:sz w:val="21"/>
                <w:szCs w:val="21"/>
                <w:highlight w:val="none"/>
                <w:lang w:val="en-US" w:eastAsia="zh-CN"/>
              </w:rPr>
              <w:t>基本合理。</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质量/环境方针</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质量/环境目标及其实现的策划</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6.2</w:t>
            </w:r>
          </w:p>
        </w:tc>
        <w:tc>
          <w:tcPr>
            <w:tcW w:w="10545" w:type="dxa"/>
          </w:tcPr>
          <w:p>
            <w:pPr>
              <w:pStyle w:val="2"/>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《管理手册》中明确了公司的质量、环境、职业健康安全方针是：</w:t>
            </w:r>
          </w:p>
          <w:p>
            <w:pPr>
              <w:pStyle w:val="2"/>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1.质量环境职业健康安全方针：</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质量至上、持续创新、诚实守信、顾客至上 </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预防为主，降低风险；遵章守法，减污降耗</w:t>
            </w:r>
          </w:p>
          <w:p>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方针适宜于公司现状，在管理手册中明确，通过文件发放，</w:t>
            </w:r>
            <w:r>
              <w:rPr>
                <w:rFonts w:hint="eastAsia" w:cs="Times New Roman"/>
                <w:color w:val="auto"/>
                <w:sz w:val="21"/>
                <w:szCs w:val="21"/>
                <w:lang w:val="en-US" w:eastAsia="zh-CN"/>
              </w:rPr>
              <w:t>使</w:t>
            </w:r>
            <w:r>
              <w:rPr>
                <w:rFonts w:hint="eastAsia" w:ascii="Times New Roman" w:hAnsi="Times New Roman" w:eastAsia="宋体" w:cs="Times New Roman"/>
                <w:color w:val="auto"/>
                <w:sz w:val="21"/>
                <w:szCs w:val="21"/>
                <w:lang w:val="en-US" w:eastAsia="zh-CN"/>
              </w:rPr>
              <w:t>员工获知，适用时提供给相关方。</w:t>
            </w:r>
          </w:p>
          <w:p>
            <w:pPr>
              <w:pStyle w:val="2"/>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lang w:val="en-US" w:eastAsia="zh-CN"/>
              </w:rPr>
              <w:t>并以方针为框架，建立了公司管理目标：</w:t>
            </w:r>
          </w:p>
          <w:p>
            <w:pPr>
              <w:pStyle w:val="2"/>
              <w:ind w:firstLine="420" w:firstLineChars="200"/>
              <w:rPr>
                <w:rFonts w:hint="eastAsia"/>
                <w:sz w:val="21"/>
                <w:szCs w:val="21"/>
              </w:rPr>
            </w:pPr>
            <w:r>
              <w:rPr>
                <w:rFonts w:hint="eastAsia"/>
                <w:sz w:val="21"/>
                <w:szCs w:val="21"/>
              </w:rPr>
              <w:t>2.管理目标：</w:t>
            </w:r>
          </w:p>
          <w:p>
            <w:pPr>
              <w:pStyle w:val="2"/>
              <w:ind w:firstLine="420" w:firstLineChars="200"/>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质量目标：</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成品一次检验合格率≥97%</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顾客满意度≥95分</w:t>
            </w:r>
          </w:p>
          <w:p>
            <w:pPr>
              <w:pStyle w:val="2"/>
              <w:ind w:firstLine="420" w:firstLineChars="200"/>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环保安全目标：</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火灾、触电、机械伤害事故为0</w:t>
            </w:r>
          </w:p>
          <w:p>
            <w:pPr>
              <w:spacing w:line="400" w:lineRule="exact"/>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职业病发病率为0</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固体废弃物分类处置率100%</w:t>
            </w:r>
          </w:p>
          <w:p>
            <w:pPr>
              <w:spacing w:line="40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废气、粉尘达标排放100%</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保留有</w:t>
            </w:r>
            <w:r>
              <w:rPr>
                <w:rFonts w:hint="default" w:ascii="Times New Roman" w:hAnsi="Times New Roman" w:eastAsia="宋体" w:cs="Times New Roman"/>
                <w:color w:val="auto"/>
                <w:sz w:val="21"/>
                <w:szCs w:val="21"/>
                <w:lang w:val="en-US" w:eastAsia="zh-CN"/>
              </w:rPr>
              <w:t>公司的环境和安全管理方案和控制措施。基本符合。</w:t>
            </w:r>
          </w:p>
          <w:p>
            <w:pPr>
              <w:pStyle w:val="2"/>
              <w:ind w:firstLine="420"/>
            </w:pPr>
            <w:r>
              <w:rPr>
                <w:rFonts w:hint="eastAsia"/>
              </w:rPr>
              <w:t>通过“</w:t>
            </w:r>
            <w:r>
              <w:t>季度目标完成计划</w:t>
            </w:r>
            <w:r>
              <w:rPr>
                <w:rFonts w:hint="eastAsia"/>
              </w:rPr>
              <w:t>”，对目标进行分解到各部门；</w:t>
            </w:r>
          </w:p>
          <w:p>
            <w:pPr>
              <w:spacing w:line="360" w:lineRule="auto"/>
              <w:ind w:firstLine="420" w:firstLineChars="200"/>
              <w:rPr>
                <w:rFonts w:hint="eastAsia"/>
                <w:color w:val="auto"/>
                <w:sz w:val="21"/>
                <w:szCs w:val="21"/>
              </w:rPr>
            </w:pPr>
            <w:r>
              <w:rPr>
                <w:rFonts w:hint="eastAsia"/>
              </w:rPr>
              <w:t>“目标分解考核表”显示对目标完成情况进行了季度考核，均完成；</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组织的岗位、职责和权限</w:t>
            </w:r>
          </w:p>
        </w:tc>
        <w:tc>
          <w:tcPr>
            <w:tcW w:w="1175"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QE:5.1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5.3</w:t>
            </w:r>
          </w:p>
        </w:tc>
        <w:tc>
          <w:tcPr>
            <w:tcW w:w="10545" w:type="dxa"/>
          </w:tcPr>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最高管理者在管理手册中明确了各部门和各岗位的职责和权限，以确保管理体系符合各项标准的要求，并确保各个过程获得其预期输出。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向最高管理者报告质量、环境、职业健康安全管理体系的绩效及改进机会，确保整个组织推动以顾客为关注焦点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rPr>
              <w:t>，确保在策划和实施管理体系变更时保持其完整性。</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公司设置有行政部、生产部、供销部、质检部。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adjustRightInd w:val="0"/>
              <w:snapToGrid w:val="0"/>
              <w:spacing w:line="360" w:lineRule="auto"/>
              <w:ind w:right="105" w:rightChars="50" w:firstLine="396" w:firstLineChars="200"/>
              <w:textAlignment w:val="baseline"/>
              <w:rPr>
                <w:color w:val="auto"/>
                <w:sz w:val="21"/>
                <w:szCs w:val="21"/>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资源</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E</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545" w:type="dxa"/>
          </w:tcPr>
          <w:p>
            <w:pPr>
              <w:adjustRightInd w:val="0"/>
              <w:snapToGrid w:val="0"/>
              <w:spacing w:line="360" w:lineRule="auto"/>
              <w:ind w:right="105" w:rightChars="50" w:firstLine="420" w:firstLineChars="200"/>
              <w:textAlignment w:val="baseline"/>
              <w:rPr>
                <w:rFonts w:hint="eastAsia" w:ascii="宋体" w:hAnsi="宋体" w:cs="Arial"/>
                <w:color w:val="0000FF"/>
                <w:spacing w:val="-6"/>
                <w:sz w:val="21"/>
                <w:szCs w:val="21"/>
                <w:lang w:val="en-US" w:eastAsia="zh-CN"/>
              </w:rPr>
            </w:pPr>
            <w:r>
              <w:rPr>
                <w:rFonts w:hint="eastAsia"/>
                <w:sz w:val="21"/>
                <w:szCs w:val="21"/>
                <w:highlight w:val="none"/>
                <w:lang w:val="en-US" w:eastAsia="zh-CN"/>
              </w:rPr>
              <w:t>公司位于江西省万载县工业园，</w:t>
            </w:r>
            <w:r>
              <w:rPr>
                <w:rFonts w:hint="eastAsia"/>
                <w:lang w:val="en-US" w:eastAsia="zh-CN"/>
              </w:rPr>
              <w:t>厂房 面积5万余平，是一家拥有三座大型现代化标准厂房，办公楼占地面积1000平方左右，展厅占地面积500平方左右，现有职工58人。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主要设备有自动喷涂线、数控铣床、激光切割机、上海二段冲床、废气处理设备、板料折弯机等；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主要检测设备包括：游标卡尺、卷尺、数显卡尺等；</w:t>
            </w:r>
          </w:p>
          <w:p>
            <w:pPr>
              <w:adjustRightInd w:val="0"/>
              <w:snapToGrid w:val="0"/>
              <w:spacing w:line="360" w:lineRule="auto"/>
              <w:ind w:right="105" w:rightChars="50" w:firstLine="396" w:firstLineChars="200"/>
              <w:textAlignment w:val="baseline"/>
              <w:rPr>
                <w:rFonts w:hint="default" w:ascii="宋体" w:hAnsi="宋体" w:cs="Arial"/>
                <w:color w:val="0000FF"/>
                <w:spacing w:val="-6"/>
                <w:sz w:val="21"/>
                <w:szCs w:val="21"/>
                <w:lang w:val="en-US" w:eastAsia="zh-CN"/>
              </w:rPr>
            </w:pPr>
            <w:r>
              <w:rPr>
                <w:rFonts w:hint="eastAsia" w:ascii="宋体" w:hAnsi="宋体" w:cs="Arial"/>
                <w:color w:val="auto"/>
                <w:spacing w:val="-6"/>
                <w:sz w:val="21"/>
                <w:szCs w:val="21"/>
                <w:lang w:val="en-US" w:eastAsia="zh-CN"/>
              </w:rPr>
              <w:t>安全环保设施包括：灭火</w:t>
            </w:r>
            <w:r>
              <w:rPr>
                <w:rFonts w:hint="eastAsia" w:ascii="宋体" w:hAnsi="宋体" w:eastAsia="宋体" w:cs="Arial"/>
                <w:color w:val="auto"/>
                <w:spacing w:val="-6"/>
                <w:kern w:val="2"/>
                <w:sz w:val="21"/>
                <w:szCs w:val="21"/>
                <w:lang w:val="en-US" w:eastAsia="zh-CN" w:bidi="ar-SA"/>
              </w:rPr>
              <w:t>器、除尘布袋、废气处理设备、污水处理设备、个体防护用品、垃圾桶等</w:t>
            </w:r>
            <w:r>
              <w:rPr>
                <w:rFonts w:hint="eastAsia" w:ascii="宋体" w:hAnsi="宋体" w:cs="Arial"/>
                <w:color w:val="0000FF"/>
                <w:spacing w:val="-6"/>
                <w:sz w:val="21"/>
                <w:szCs w:val="21"/>
                <w:lang w:val="en-US"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确认公司目前人力资源、基础设施、销售人员、财力、信息等资源均能保证。公司</w:t>
            </w:r>
            <w:r>
              <w:rPr>
                <w:rFonts w:hint="eastAsia" w:ascii="宋体" w:hAnsi="宋体" w:cs="Arial"/>
                <w:color w:val="auto"/>
                <w:spacing w:val="-6"/>
                <w:sz w:val="21"/>
                <w:szCs w:val="21"/>
                <w:lang w:val="en-US" w:eastAsia="zh-CN"/>
              </w:rPr>
              <w:t>办公区域等</w:t>
            </w:r>
            <w:r>
              <w:rPr>
                <w:rFonts w:hint="default" w:ascii="宋体" w:hAnsi="宋体" w:cs="Arial"/>
                <w:color w:val="auto"/>
                <w:spacing w:val="-6"/>
                <w:sz w:val="21"/>
                <w:szCs w:val="21"/>
                <w:lang w:val="en-US" w:eastAsia="zh-CN"/>
              </w:rPr>
              <w:t>现场配备了灭火器等消防安全设备，能保证企业正常办公。</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firstLine="396" w:firstLineChars="200"/>
              <w:textAlignment w:val="baseline"/>
              <w:rPr>
                <w:rFonts w:hint="default" w:eastAsia="宋体"/>
                <w:color w:val="auto"/>
                <w:sz w:val="21"/>
                <w:szCs w:val="21"/>
                <w:lang w:val="en-US" w:eastAsia="zh-CN"/>
              </w:rPr>
            </w:pPr>
            <w:r>
              <w:rPr>
                <w:rFonts w:hint="default" w:ascii="宋体" w:hAnsi="宋体" w:cs="Arial"/>
                <w:color w:val="auto"/>
                <w:spacing w:val="-6"/>
                <w:sz w:val="21"/>
                <w:szCs w:val="21"/>
                <w:lang w:val="en-US" w:eastAsia="zh-CN"/>
              </w:rPr>
              <w:t>基本能满足体系运行的要求。</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信息交流</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545"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组织在各部门之间建立了与体系有关的信息通渠沟道，借助于会议、电话、微信、网络、口头交流等方式使全体员工达到沟通和理解。目前各部门协调一致，工作上的接口基本顺畅。</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总经理龙成燕定期主持经营办公例会，分析公司的发展、市场情况和体系运行是否有效，管理目标完成情况，满足顾客要求和法规程度，改进建议等内部管理存在问题等。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总经理龙成燕为协商、参与提供了时间、机会、培训、资源等保障，明确了沟通、协商、参与渠道，消除了障碍和壁垒。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管代龙元明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现场查见会议记录、通知通报、培训记录、文件签收等组织内部培训方式相关记录。</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经交流：目前与环保、劳动、消防、安监部门的信息交流主要是参加会议、接收来文、电话、邮件等，均按要求予以传达和落实，沟通情况较好。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由于公司福利待遇正常发放，员工无抱怨，目前信息交流机制畅通。</w:t>
            </w:r>
          </w:p>
          <w:p>
            <w:pPr>
              <w:adjustRightInd w:val="0"/>
              <w:snapToGrid w:val="0"/>
              <w:spacing w:line="360" w:lineRule="auto"/>
              <w:ind w:right="105" w:rightChars="50" w:firstLine="396" w:firstLineChars="200"/>
              <w:textAlignment w:val="baseline"/>
              <w:rPr>
                <w:color w:val="auto"/>
                <w:sz w:val="21"/>
                <w:szCs w:val="21"/>
              </w:rPr>
            </w:pPr>
            <w:r>
              <w:rPr>
                <w:rFonts w:hint="eastAsia" w:ascii="宋体" w:hAnsi="宋体" w:cs="Arial"/>
                <w:color w:val="auto"/>
                <w:spacing w:val="-6"/>
                <w:sz w:val="21"/>
                <w:szCs w:val="21"/>
                <w:lang w:val="en-US" w:eastAsia="zh-CN"/>
              </w:rPr>
              <w:t>现有的沟通渠道和方法能满足要求。审核中未发现因沟通不利不及时而造成（影响）某项工作不能正常运行的情况。</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管理评审</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9.3</w:t>
            </w:r>
          </w:p>
        </w:tc>
        <w:tc>
          <w:tcPr>
            <w:tcW w:w="10545"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w:t>
            </w:r>
            <w:r>
              <w:rPr>
                <w:rFonts w:hint="eastAsia" w:ascii="宋体" w:hAnsi="宋体" w:cs="Arial"/>
                <w:color w:val="auto"/>
                <w:spacing w:val="-6"/>
                <w:sz w:val="21"/>
                <w:szCs w:val="21"/>
                <w:highlight w:val="none"/>
                <w:lang w:val="en-US" w:eastAsia="zh-CN"/>
              </w:rPr>
              <w:t>2</w:t>
            </w:r>
            <w:r>
              <w:rPr>
                <w:rFonts w:hint="eastAsia" w:ascii="宋体" w:hAnsi="宋体" w:eastAsia="宋体" w:cs="Arial"/>
                <w:color w:val="auto"/>
                <w:spacing w:val="-6"/>
                <w:sz w:val="21"/>
                <w:szCs w:val="21"/>
                <w:highlight w:val="none"/>
                <w:lang w:val="en-US" w:eastAsia="zh-CN"/>
              </w:rPr>
              <w:t>年3月</w:t>
            </w:r>
            <w:r>
              <w:rPr>
                <w:rFonts w:hint="eastAsia" w:ascii="宋体" w:hAnsi="宋体" w:cs="Arial"/>
                <w:color w:val="auto"/>
                <w:spacing w:val="-6"/>
                <w:sz w:val="21"/>
                <w:szCs w:val="21"/>
                <w:highlight w:val="none"/>
                <w:lang w:val="en-US" w:eastAsia="zh-CN"/>
              </w:rPr>
              <w:t>25</w:t>
            </w:r>
            <w:r>
              <w:rPr>
                <w:rFonts w:hint="eastAsia" w:ascii="宋体" w:hAnsi="宋体" w:eastAsia="宋体" w:cs="Arial"/>
                <w:color w:val="auto"/>
                <w:spacing w:val="-6"/>
                <w:sz w:val="21"/>
                <w:szCs w:val="21"/>
                <w:highlight w:val="none"/>
                <w:lang w:val="en-US" w:eastAsia="zh-CN"/>
              </w:rPr>
              <w:t>日在会议室</w:t>
            </w:r>
            <w:r>
              <w:rPr>
                <w:rFonts w:hint="eastAsia" w:ascii="宋体" w:hAnsi="宋体" w:cs="Arial"/>
                <w:color w:val="auto"/>
                <w:spacing w:val="-6"/>
                <w:sz w:val="21"/>
                <w:szCs w:val="21"/>
                <w:highlight w:val="none"/>
                <w:lang w:val="en-US" w:eastAsia="zh-CN"/>
              </w:rPr>
              <w:t>总经理龙成燕主持了</w:t>
            </w:r>
            <w:r>
              <w:rPr>
                <w:rFonts w:hint="eastAsia" w:ascii="宋体" w:hAnsi="宋体" w:eastAsia="宋体" w:cs="Arial"/>
                <w:color w:val="auto"/>
                <w:spacing w:val="-6"/>
                <w:sz w:val="21"/>
                <w:szCs w:val="21"/>
                <w:highlight w:val="none"/>
                <w:lang w:val="en-US" w:eastAsia="zh-CN"/>
              </w:rPr>
              <w:t>管理评审。保留有管理评审计划、管理评审会议通知、评审记录、评审报告和改进措施计划等；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管理评审输入满足要求；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管理评审结论：经评审认为本公司的质量管理体系的建立和运行是充分的、适宜的、有效的。</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建议：进一步组织对相关的法律、法规、规程和规范的学习，为了使贯标的成果得以巩固，使管理体系能持续改进和提高，通过贯标，实实在在地提高企业的管理水平，增强全体员工的市场竞争意识、经济效益意识、与国际接轨意识、质量、环境、职业健康安全的文化意识等，确保企业管理方针和目标的实现。</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制定有“管理评审改进措施计划”。</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基本符合要求。</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持续改进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10.1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10.3</w:t>
            </w:r>
          </w:p>
        </w:tc>
        <w:tc>
          <w:tcPr>
            <w:tcW w:w="10545"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w:t>
            </w:r>
            <w:r>
              <w:rPr>
                <w:rFonts w:hint="eastAsia" w:ascii="宋体" w:hAnsi="宋体" w:cs="Arial"/>
                <w:color w:val="auto"/>
                <w:spacing w:val="-6"/>
                <w:sz w:val="21"/>
                <w:szCs w:val="21"/>
                <w:highlight w:val="none"/>
                <w:lang w:val="en-US" w:eastAsia="zh-CN"/>
              </w:rPr>
              <w:t>办公室</w:t>
            </w:r>
            <w:r>
              <w:rPr>
                <w:rFonts w:hint="eastAsia" w:ascii="宋体" w:hAnsi="宋体" w:eastAsia="宋体" w:cs="Arial"/>
                <w:color w:val="auto"/>
                <w:spacing w:val="-6"/>
                <w:sz w:val="21"/>
                <w:szCs w:val="21"/>
                <w:highlight w:val="none"/>
                <w:lang w:val="en-US" w:eastAsia="zh-CN"/>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上次审核不符合项的验证</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545" w:type="dxa"/>
            <w:vAlign w:val="center"/>
          </w:tcPr>
          <w:p>
            <w:pPr>
              <w:spacing w:line="360" w:lineRule="auto"/>
              <w:ind w:firstLine="420"/>
              <w:rPr>
                <w:rFonts w:hint="eastAsia"/>
                <w:lang w:val="en-US" w:eastAsia="zh-CN"/>
              </w:rPr>
            </w:pPr>
            <w:r>
              <w:rPr>
                <w:rFonts w:hint="eastAsia"/>
                <w:lang w:val="en-US" w:eastAsia="zh-CN"/>
              </w:rPr>
              <w:t>上次</w:t>
            </w:r>
            <w:r>
              <w:rPr>
                <w:rFonts w:hint="eastAsia"/>
              </w:rPr>
              <w:t>审核</w:t>
            </w:r>
            <w:r>
              <w:rPr>
                <w:rFonts w:hint="eastAsia"/>
                <w:lang w:val="en-US" w:eastAsia="zh-CN"/>
              </w:rPr>
              <w:t>开具1项不符合项--</w:t>
            </w:r>
            <w:r>
              <w:rPr>
                <w:rFonts w:hint="eastAsia"/>
                <w:b/>
                <w:bCs/>
              </w:rPr>
              <w:t>现场巡视，发现1#厂房门口灭火器指针指向红色，处于无效状态</w:t>
            </w:r>
            <w:r>
              <w:rPr>
                <w:rFonts w:hint="eastAsia"/>
                <w:b/>
                <w:bCs/>
                <w:lang w:val="en-US" w:eastAsia="zh-CN"/>
              </w:rPr>
              <w:t>。</w:t>
            </w:r>
          </w:p>
          <w:p>
            <w:pPr>
              <w:pStyle w:val="2"/>
              <w:spacing w:line="360" w:lineRule="auto"/>
              <w:rPr>
                <w:rFonts w:hint="eastAsia"/>
                <w:lang w:val="en-US" w:eastAsia="zh-CN"/>
              </w:rPr>
            </w:pPr>
            <w:r>
              <w:rPr>
                <w:rFonts w:hint="eastAsia" w:ascii="Times New Roman" w:hAnsi="Times New Roman" w:eastAsia="宋体" w:cs="Times New Roman"/>
                <w:color w:val="auto"/>
                <w:kern w:val="2"/>
                <w:sz w:val="21"/>
                <w:szCs w:val="21"/>
                <w:lang w:val="en-US" w:eastAsia="zh-CN" w:bidi="ar-SA"/>
              </w:rPr>
              <w:t>企业已按体系管理要求进行整改，整改措施为对改负责人进行了安全教育及时更换了有效的消防器材，并对相关人员进行了GB/T 24001-2016 idt ISO 14001:2015标准 8.1 条款、ISO45001：2018标准 8.1 条款相关要求培训。</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验证企业相关资质证明的有效性</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545" w:type="dxa"/>
            <w:vAlign w:val="center"/>
          </w:tcPr>
          <w:p>
            <w:pPr>
              <w:spacing w:line="360" w:lineRule="auto"/>
              <w:ind w:firstLine="420"/>
              <w:rPr>
                <w:rFonts w:hint="default" w:ascii="Times New Roman" w:hAnsi="Times New Roman" w:eastAsia="宋体" w:cs="Times New Roman"/>
                <w:color w:val="auto"/>
                <w:sz w:val="21"/>
                <w:szCs w:val="21"/>
                <w:lang w:val="en-US" w:eastAsia="zh-CN"/>
              </w:rPr>
            </w:pPr>
            <w:r>
              <w:rPr>
                <w:rFonts w:hint="eastAsia" w:ascii="宋体" w:hAnsi="宋体" w:eastAsia="宋体" w:cs="Arial"/>
                <w:color w:val="auto"/>
                <w:spacing w:val="-6"/>
                <w:sz w:val="21"/>
                <w:szCs w:val="21"/>
              </w:rPr>
              <w:t>国家企业信用信息公示系统</w:t>
            </w:r>
            <w:r>
              <w:rPr>
                <w:rFonts w:hint="eastAsia" w:ascii="宋体" w:hAnsi="宋体" w:eastAsia="宋体" w:cs="Arial"/>
                <w:color w:val="auto"/>
                <w:spacing w:val="-6"/>
                <w:sz w:val="21"/>
                <w:szCs w:val="21"/>
                <w:lang w:val="en-US" w:eastAsia="zh-CN"/>
              </w:rPr>
              <w:t>查询结果：营业执照续存，无风险警示。</w:t>
            </w:r>
            <w:r>
              <w:rPr>
                <w:rFonts w:hint="eastAsia" w:ascii="宋体" w:hAnsi="宋体" w:cs="Arial"/>
                <w:color w:val="auto"/>
                <w:spacing w:val="-6"/>
                <w:sz w:val="21"/>
                <w:szCs w:val="21"/>
                <w:lang w:val="en-US" w:eastAsia="zh-CN"/>
              </w:rPr>
              <w:t>查见</w:t>
            </w:r>
            <w:r>
              <w:rPr>
                <w:rFonts w:hint="eastAsia" w:ascii="宋体" w:hAnsi="宋体" w:eastAsia="宋体" w:cs="Arial"/>
                <w:color w:val="auto"/>
                <w:spacing w:val="-6"/>
                <w:sz w:val="21"/>
                <w:szCs w:val="21"/>
                <w:lang w:val="en-US" w:eastAsia="zh-CN"/>
              </w:rPr>
              <w:t>营业执照，有效。</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国家/地方监督抽查情况</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545" w:type="dxa"/>
            <w:vAlign w:val="center"/>
          </w:tcPr>
          <w:p>
            <w:pPr>
              <w:spacing w:line="360" w:lineRule="auto"/>
              <w:ind w:firstLine="42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顾客满意：通过发放顾客满意度调查进行监测，2022年2月28日-2022年3月2日，发放调查表</w:t>
            </w: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份，经统计分析，顾客满意度为97分。</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自公司成立以来，行业主管部门和政府有关单位对公司进行检查时提出的小问题都能及时整改；目前没有相关行政主管部门的检查，在审核现场也未发现抽查、相关方投诉等情况。</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本周期未受到上级主管部门有关质量、环境、职业健康安全的行政处罚，未发生相关方的投诉。</w:t>
            </w:r>
          </w:p>
          <w:p>
            <w:pPr>
              <w:spacing w:line="360" w:lineRule="auto"/>
              <w:ind w:firstLine="42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暂时没有国家/地方抽查情况。</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E4KF8D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76A4FAD"/>
    <w:rsid w:val="0A2F2AEB"/>
    <w:rsid w:val="0D731A14"/>
    <w:rsid w:val="111E393A"/>
    <w:rsid w:val="16883B0C"/>
    <w:rsid w:val="176212E5"/>
    <w:rsid w:val="191A6C81"/>
    <w:rsid w:val="1D7E5E8C"/>
    <w:rsid w:val="1F965284"/>
    <w:rsid w:val="264733D3"/>
    <w:rsid w:val="26C64400"/>
    <w:rsid w:val="29A82042"/>
    <w:rsid w:val="2AFB17EF"/>
    <w:rsid w:val="2C7B2710"/>
    <w:rsid w:val="36221AE5"/>
    <w:rsid w:val="3CDC7BBE"/>
    <w:rsid w:val="40BA733C"/>
    <w:rsid w:val="412C6AF2"/>
    <w:rsid w:val="4337077C"/>
    <w:rsid w:val="43592B68"/>
    <w:rsid w:val="446059FD"/>
    <w:rsid w:val="46D616BA"/>
    <w:rsid w:val="4D41465D"/>
    <w:rsid w:val="4EB11A91"/>
    <w:rsid w:val="50A93BF0"/>
    <w:rsid w:val="524D7A1B"/>
    <w:rsid w:val="5264359A"/>
    <w:rsid w:val="57BD1E15"/>
    <w:rsid w:val="58DF17CC"/>
    <w:rsid w:val="5E992A4C"/>
    <w:rsid w:val="635D78BF"/>
    <w:rsid w:val="66281A29"/>
    <w:rsid w:val="666361BA"/>
    <w:rsid w:val="68111886"/>
    <w:rsid w:val="6A0103AE"/>
    <w:rsid w:val="6CA613CD"/>
    <w:rsid w:val="6DDA7EB7"/>
    <w:rsid w:val="73D04D33"/>
    <w:rsid w:val="75033769"/>
    <w:rsid w:val="79584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5047</Words>
  <Characters>5369</Characters>
  <Lines>1</Lines>
  <Paragraphs>1</Paragraphs>
  <TotalTime>1</TotalTime>
  <ScaleCrop>false</ScaleCrop>
  <LinksUpToDate>false</LinksUpToDate>
  <CharactersWithSpaces>5430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2022-05-12T08:07:13Z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C20C6B9614064A5D8F28AD39CB804F3C</vt:lpwstr>
  </property>
</Properties>
</file>