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0419-2022-QJEO</w:t>
      </w:r>
      <w:bookmarkEnd w:id="0"/>
    </w:p>
    <w:p>
      <w:pPr>
        <w:snapToGrid w:val="0"/>
        <w:spacing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cstate="print"/>
                    <a:stretch>
                      <a:fillRect/>
                    </a:stretch>
                  </pic:blipFill>
                  <pic:spPr>
                    <a:xfrm>
                      <a:off x="0" y="0"/>
                      <a:ext cx="1747164" cy="1749516"/>
                    </a:xfrm>
                    <a:prstGeom prst="rect">
                      <a:avLst/>
                    </a:prstGeom>
                  </pic:spPr>
                </pic:pic>
              </a:graphicData>
            </a:graphic>
          </wp:anchor>
        </w:drawing>
      </w: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jc w:val="center"/>
        <w:rPr>
          <w:rFonts w:ascii="楷体" w:hAnsi="楷体" w:eastAsia="楷体"/>
          <w:b/>
          <w:color w:val="000000"/>
          <w:szCs w:val="21"/>
        </w:rPr>
      </w:pP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重庆厦宇建筑工程有限公司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2022年05月10日 上午至2022年05月10日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bookmarkStart w:id="9" w:name="E勾选Add1"/>
            <w:r>
              <w:rPr>
                <w:rFonts w:hint="eastAsia" w:ascii="宋体" w:hAnsi="宋体"/>
                <w:b/>
                <w:color w:val="000000"/>
                <w:szCs w:val="21"/>
              </w:rPr>
              <w:t>■</w:t>
            </w:r>
            <w:bookmarkEnd w:id="9"/>
            <w:r>
              <w:rPr>
                <w:rFonts w:ascii="宋体" w:hAnsi="宋体"/>
                <w:b/>
                <w:color w:val="000000"/>
                <w:szCs w:val="21"/>
              </w:rPr>
              <w:t>EMS/</w:t>
            </w:r>
            <w:bookmarkStart w:id="10" w:name="S勾选Add1"/>
            <w:r>
              <w:rPr>
                <w:rFonts w:hint="eastAsia" w:ascii="宋体" w:hAnsi="宋体"/>
                <w:b/>
                <w:color w:val="000000"/>
                <w:szCs w:val="21"/>
              </w:rPr>
              <w:t>■</w:t>
            </w:r>
            <w:bookmarkEnd w:id="10"/>
            <w:r>
              <w:rPr>
                <w:rFonts w:ascii="宋体" w:hAnsi="宋体"/>
                <w:b/>
                <w:color w:val="000000"/>
                <w:szCs w:val="21"/>
              </w:rPr>
              <w:t>OHSMS/</w:t>
            </w:r>
            <w:bookmarkStart w:id="11" w:name="EnMS勾选Add1"/>
            <w:r>
              <w:rPr>
                <w:rFonts w:hint="eastAsia" w:ascii="宋体" w:hAnsi="宋体"/>
                <w:b/>
                <w:color w:val="000000"/>
                <w:szCs w:val="21"/>
              </w:rPr>
              <w:t>□</w:t>
            </w:r>
            <w:bookmarkEnd w:id="11"/>
            <w:r>
              <w:rPr>
                <w:rFonts w:hint="eastAsia" w:ascii="宋体" w:hAnsi="宋体"/>
                <w:b/>
                <w:color w:val="000000"/>
                <w:szCs w:val="21"/>
              </w:rPr>
              <w:t>En</w:t>
            </w:r>
            <w:r>
              <w:rPr>
                <w:rFonts w:ascii="宋体" w:hAnsi="宋体"/>
                <w:b/>
                <w:color w:val="000000"/>
                <w:szCs w:val="21"/>
              </w:rPr>
              <w:t>MS/</w:t>
            </w:r>
            <w:bookmarkStart w:id="12" w:name="F勾选Add1"/>
            <w:r>
              <w:rPr>
                <w:rFonts w:hint="eastAsia" w:ascii="宋体" w:hAnsi="宋体"/>
                <w:b/>
                <w:color w:val="000000"/>
                <w:szCs w:val="21"/>
              </w:rPr>
              <w:t>□</w:t>
            </w:r>
            <w:bookmarkEnd w:id="12"/>
            <w:r>
              <w:rPr>
                <w:rFonts w:hint="eastAsia" w:ascii="宋体" w:hAnsi="宋体"/>
                <w:b/>
                <w:color w:val="000000"/>
                <w:szCs w:val="21"/>
              </w:rPr>
              <w:t>FS</w:t>
            </w:r>
            <w:r>
              <w:rPr>
                <w:rFonts w:ascii="宋体" w:hAnsi="宋体"/>
                <w:b/>
                <w:color w:val="000000"/>
                <w:szCs w:val="21"/>
              </w:rPr>
              <w:t>MS/</w:t>
            </w:r>
            <w:bookmarkStart w:id="13" w:name="H勾选Add1"/>
            <w:r>
              <w:rPr>
                <w:rFonts w:hint="eastAsia" w:ascii="宋体" w:hAnsi="宋体"/>
                <w:b/>
                <w:color w:val="000000"/>
                <w:szCs w:val="21"/>
              </w:rPr>
              <w:t>□</w:t>
            </w:r>
            <w:bookmarkEnd w:id="13"/>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b/>
                <w:color w:val="000000"/>
                <w:szCs w:val="21"/>
              </w:rPr>
              <w:t>■</w:t>
            </w:r>
            <w:r>
              <w:rPr>
                <w:rFonts w:hint="eastAsia" w:ascii="宋体" w:hAnsi="宋体"/>
                <w:b/>
                <w:color w:val="000000"/>
                <w:szCs w:val="21"/>
                <w:lang w:val="de-DE"/>
              </w:rPr>
              <w:t>GB/T19001-2016</w:t>
            </w:r>
            <w:r>
              <w:rPr>
                <w:rFonts w:hint="eastAsia" w:ascii="宋体" w:hAnsi="宋体"/>
                <w:b/>
                <w:color w:val="000000"/>
                <w:szCs w:val="21"/>
              </w:rPr>
              <w:t>■</w:t>
            </w:r>
            <w:r>
              <w:rPr>
                <w:rFonts w:hint="eastAsia" w:ascii="宋体" w:hAnsi="宋体"/>
                <w:b/>
                <w:color w:val="000000"/>
                <w:szCs w:val="21"/>
                <w:lang w:val="de-DE"/>
              </w:rPr>
              <w:t>GB/T 50430-2017</w:t>
            </w:r>
            <w:bookmarkStart w:id="14" w:name="E勾选Add2"/>
            <w:r>
              <w:rPr>
                <w:rFonts w:hint="eastAsia" w:ascii="宋体" w:hAnsi="宋体"/>
                <w:b/>
                <w:color w:val="000000"/>
                <w:szCs w:val="21"/>
                <w:lang w:val="de-DE"/>
              </w:rPr>
              <w:t>■</w:t>
            </w:r>
            <w:bookmarkEnd w:id="14"/>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5" w:name="S勾选Add2"/>
            <w:r>
              <w:rPr>
                <w:rFonts w:hint="eastAsia" w:ascii="宋体" w:hAnsi="宋体"/>
                <w:b/>
                <w:color w:val="000000"/>
                <w:szCs w:val="21"/>
                <w:lang w:val="de-DE"/>
              </w:rPr>
              <w:t>■</w:t>
            </w:r>
            <w:bookmarkEnd w:id="15"/>
            <w:r>
              <w:rPr>
                <w:rFonts w:hint="eastAsia" w:ascii="宋体" w:hAnsi="宋体"/>
                <w:b/>
                <w:color w:val="000000"/>
                <w:szCs w:val="21"/>
                <w:lang w:val="de-DE"/>
              </w:rPr>
              <w:t>ISO45001：2018</w:t>
            </w:r>
          </w:p>
          <w:p>
            <w:pPr>
              <w:rPr>
                <w:rFonts w:ascii="宋体" w:hAnsi="宋体"/>
                <w:b/>
                <w:color w:val="000000"/>
                <w:szCs w:val="21"/>
                <w:lang w:val="de-DE"/>
              </w:rPr>
            </w:pPr>
            <w:bookmarkStart w:id="16" w:name="EnMS勾选Add2"/>
            <w:r>
              <w:rPr>
                <w:rFonts w:hint="eastAsia" w:ascii="宋体" w:hAnsi="宋体"/>
                <w:b/>
                <w:color w:val="000000"/>
                <w:szCs w:val="21"/>
                <w:lang w:val="de-DE"/>
              </w:rPr>
              <w:t>□</w:t>
            </w:r>
            <w:bookmarkEnd w:id="16"/>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7" w:name="F勾选Add2"/>
            <w:r>
              <w:rPr>
                <w:rFonts w:hint="eastAsia" w:ascii="宋体" w:hAnsi="宋体"/>
                <w:b/>
                <w:color w:val="000000"/>
                <w:szCs w:val="21"/>
                <w:lang w:val="de-DE"/>
              </w:rPr>
              <w:t>□</w:t>
            </w:r>
            <w:bookmarkEnd w:id="17"/>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8" w:name="H勾选Add2"/>
            <w:r>
              <w:rPr>
                <w:rFonts w:hint="eastAsia" w:ascii="宋体" w:hAnsi="宋体"/>
                <w:b/>
                <w:color w:val="000000"/>
                <w:szCs w:val="21"/>
                <w:lang w:val="de-DE"/>
              </w:rPr>
              <w:t>□</w:t>
            </w:r>
            <w:bookmarkEnd w:id="18"/>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b/>
                <w:color w:val="000000"/>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zCs w:val="21"/>
              </w:rPr>
            </w:pPr>
            <w:r>
              <w:rPr>
                <w:rFonts w:hint="eastAsia" w:cs="Arial"/>
                <w:b/>
                <w:bCs/>
                <w:szCs w:val="21"/>
              </w:rPr>
              <w:t>审核地址（含远程）</w:t>
            </w:r>
          </w:p>
        </w:tc>
        <w:tc>
          <w:tcPr>
            <w:tcW w:w="7431" w:type="dxa"/>
            <w:tcMar>
              <w:left w:w="113" w:type="dxa"/>
            </w:tcMar>
          </w:tcPr>
          <w:p>
            <w:pPr>
              <w:rPr>
                <w:rFonts w:ascii="宋体"/>
                <w:b/>
                <w:szCs w:val="21"/>
              </w:rPr>
            </w:pPr>
            <w:r>
              <w:rPr>
                <w:rFonts w:hint="eastAsia" w:ascii="宋体" w:hAnsi="宋体" w:cs="宋体"/>
                <w:kern w:val="0"/>
                <w:szCs w:val="21"/>
              </w:rPr>
              <w:t>重庆市江北区石马河宏盛路23号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zCs w:val="21"/>
              </w:rPr>
            </w:pPr>
            <w:r>
              <w:rPr>
                <w:rFonts w:hint="eastAsia" w:ascii="宋体"/>
                <w:b/>
                <w:szCs w:val="21"/>
              </w:rPr>
              <w:t>远程审核方式</w:t>
            </w:r>
          </w:p>
        </w:tc>
        <w:tc>
          <w:tcPr>
            <w:tcW w:w="7431" w:type="dxa"/>
            <w:tcMar>
              <w:left w:w="113" w:type="dxa"/>
            </w:tcMar>
            <w:vAlign w:val="bottom"/>
          </w:tcPr>
          <w:p>
            <w:pPr>
              <w:rPr>
                <w:rFonts w:ascii="宋体"/>
                <w:b/>
                <w:szCs w:val="21"/>
              </w:rPr>
            </w:pPr>
            <w:r>
              <w:rPr>
                <w:rFonts w:hint="eastAsia" w:ascii="宋体"/>
                <w:b/>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zCs w:val="21"/>
              </w:rPr>
            </w:pPr>
            <w:r>
              <w:rPr>
                <w:rFonts w:hint="eastAsia" w:ascii="宋体"/>
                <w:b/>
                <w:szCs w:val="21"/>
              </w:rPr>
              <w:t>信息安全的控制</w:t>
            </w:r>
          </w:p>
        </w:tc>
        <w:tc>
          <w:tcPr>
            <w:tcW w:w="7431" w:type="dxa"/>
            <w:tcMar>
              <w:left w:w="113" w:type="dxa"/>
            </w:tcMar>
            <w:vAlign w:val="bottom"/>
          </w:tcPr>
          <w:p>
            <w:pPr>
              <w:rPr>
                <w:rFonts w:ascii="宋体"/>
                <w:b/>
                <w:szCs w:val="21"/>
              </w:rPr>
            </w:pPr>
            <w:r>
              <w:rPr>
                <w:rFonts w:hint="eastAsia" w:ascii="宋体"/>
                <w:b/>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zCs w:val="21"/>
              </w:rPr>
            </w:pPr>
            <w:r>
              <w:rPr>
                <w:rFonts w:hint="eastAsia" w:ascii="宋体"/>
                <w:b/>
                <w:szCs w:val="21"/>
              </w:rPr>
              <w:t>远程审核资源</w:t>
            </w:r>
          </w:p>
        </w:tc>
        <w:tc>
          <w:tcPr>
            <w:tcW w:w="7431" w:type="dxa"/>
            <w:tcMar>
              <w:left w:w="113" w:type="dxa"/>
            </w:tcMar>
            <w:vAlign w:val="bottom"/>
          </w:tcPr>
          <w:p>
            <w:pPr>
              <w:rPr>
                <w:rFonts w:ascii="宋体"/>
                <w:b/>
                <w:szCs w:val="21"/>
              </w:rPr>
            </w:pPr>
            <w:r>
              <w:rPr>
                <w:rFonts w:hint="eastAsia" w:ascii="宋体"/>
                <w:b/>
                <w:szCs w:val="21"/>
              </w:rPr>
              <w:t>□网络□智能手机□手持设备□笔记本电脑□台式电脑□无人机□摄像机□可穿戴技术□人工智能□其他</w:t>
            </w:r>
          </w:p>
          <w:p>
            <w:pPr>
              <w:rPr>
                <w:rFonts w:ascii="宋体"/>
                <w:b/>
                <w:szCs w:val="21"/>
              </w:rPr>
            </w:pPr>
          </w:p>
          <w:p>
            <w:pPr>
              <w:rPr>
                <w:rFonts w:ascii="宋体"/>
                <w:b/>
                <w:szCs w:val="21"/>
              </w:rPr>
            </w:pPr>
          </w:p>
          <w:p>
            <w:pPr>
              <w:rPr>
                <w:rFonts w:ascii="宋体"/>
                <w:b/>
                <w:szCs w:val="21"/>
              </w:rPr>
            </w:pPr>
          </w:p>
          <w:p>
            <w:pPr>
              <w:rPr>
                <w:rFonts w:ascii="宋体"/>
                <w:b/>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1140" w:type="dxa"/>
            <w:vAlign w:val="center"/>
          </w:tcPr>
          <w:p>
            <w:pPr>
              <w:spacing w:line="240" w:lineRule="exact"/>
              <w:jc w:val="center"/>
              <w:rPr>
                <w:b/>
                <w:color w:val="000000"/>
                <w:szCs w:val="21"/>
              </w:rPr>
            </w:pPr>
            <w:r>
              <w:rPr>
                <w:b/>
                <w:color w:val="000000"/>
                <w:szCs w:val="21"/>
              </w:rPr>
              <w:t>EC:28.02.00</w:t>
            </w:r>
          </w:p>
          <w:p>
            <w:pPr>
              <w:spacing w:line="240" w:lineRule="exact"/>
              <w:jc w:val="center"/>
              <w:rPr>
                <w:b/>
                <w:color w:val="000000"/>
                <w:szCs w:val="21"/>
              </w:rPr>
            </w:pPr>
            <w:r>
              <w:rPr>
                <w:b/>
                <w:color w:val="000000"/>
                <w:szCs w:val="21"/>
              </w:rPr>
              <w:t>E:28.02.00</w:t>
            </w:r>
          </w:p>
          <w:p>
            <w:pPr>
              <w:spacing w:line="240" w:lineRule="exact"/>
              <w:jc w:val="center"/>
              <w:rPr>
                <w:b/>
                <w:color w:val="000000"/>
                <w:szCs w:val="21"/>
              </w:rPr>
            </w:pPr>
            <w:r>
              <w:rPr>
                <w:b/>
                <w:color w:val="000000"/>
                <w:szCs w:val="21"/>
              </w:rPr>
              <w:t>O:28.02.00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color w:val="000000"/>
                <w:szCs w:val="21"/>
              </w:rPr>
              <w:t>重庆厦宇建筑工程有限公司</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color w:val="000000"/>
                <w:szCs w:val="21"/>
              </w:rPr>
              <w:t>重庆市永川区青城路66号66-10</w:t>
            </w:r>
            <w:bookmarkEnd w:id="20"/>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1" w:name="注册邮编"/>
            <w:r>
              <w:rPr>
                <w:rFonts w:ascii="宋体"/>
                <w:b/>
                <w:color w:val="000000"/>
                <w:szCs w:val="21"/>
              </w:rPr>
              <w:t>402177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办公地址"/>
            <w:bookmarkStart w:id="23" w:name="生产地址"/>
            <w:r>
              <w:rPr>
                <w:rFonts w:ascii="宋体"/>
                <w:b/>
                <w:color w:val="000000"/>
                <w:szCs w:val="21"/>
              </w:rPr>
              <w:t>重庆市江北区石马河宏盛路23号</w:t>
            </w:r>
            <w:bookmarkEnd w:id="22"/>
            <w:bookmarkEnd w:id="2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400021</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陈雪</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15178885515</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梁萍</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陈雪</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资质范围内的建筑工程施工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rPr>
                <w:szCs w:val="21"/>
              </w:rPr>
            </w:pPr>
            <w:r>
              <w:rPr>
                <w:rFonts w:hint="eastAsia"/>
                <w:szCs w:val="21"/>
              </w:rPr>
              <w:t>订合同—组建项目部—编制施工组织设计—组织施工—过程检验—分部分项验收—验收。</w:t>
            </w:r>
          </w:p>
          <w:p>
            <w:pPr>
              <w:tabs>
                <w:tab w:val="left" w:pos="360"/>
              </w:tabs>
              <w:ind w:left="360" w:hanging="360"/>
              <w:rPr>
                <w:rFonts w:ascii="宋体"/>
                <w:color w:val="000000"/>
                <w:szCs w:val="21"/>
              </w:rPr>
            </w:pPr>
            <w:r>
              <w:rPr>
                <w:rFonts w:hint="eastAsia"/>
                <w:szCs w:val="21"/>
              </w:rPr>
              <w:t>特殊过程：隐蔽工程、焊接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资质范围内的建筑工程施工</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rPr>
              <w:t>28.02.00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资质范围内的建筑工程施工所涉及场所的相关环境管理活动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rPr>
              <w:t>28.02.00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资质范围内的建筑工程施工所涉及场所的相关职业健康安全管理活动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ascii="宋体" w:hAnsi="宋体" w:cs="宋体"/>
                <w:color w:val="000000"/>
                <w:kern w:val="0"/>
              </w:rPr>
              <w:t>28.02.00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bookmarkStart w:id="30" w:name="现场审核勾选"/>
            <w:r>
              <w:rPr>
                <w:rFonts w:hint="eastAsia" w:ascii="宋体" w:hAnsi="宋体" w:cs="宋体"/>
                <w:color w:val="000000"/>
                <w:kern w:val="0"/>
              </w:rPr>
              <w:t>■</w:t>
            </w:r>
            <w:bookmarkEnd w:id="30"/>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s="宋体"/>
                <w:color w:val="000000"/>
                <w:kern w:val="0"/>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s="宋体"/>
                <w:color w:val="000000"/>
                <w:kern w:val="0"/>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Cs w:val="21"/>
              </w:rPr>
            </w:pPr>
            <w:r>
              <w:rPr>
                <w:rFonts w:hint="eastAsia" w:ascii="宋体" w:hAnsi="宋体" w:cs="宋体"/>
                <w:color w:val="000000"/>
                <w:kern w:val="0"/>
                <w:szCs w:val="21"/>
              </w:rPr>
              <w:t>重庆厦宇建筑工程有限公司</w:t>
            </w:r>
            <w:r>
              <w:rPr>
                <w:rFonts w:hint="eastAsia" w:ascii="宋体"/>
                <w:b/>
                <w:color w:val="000000"/>
                <w:szCs w:val="21"/>
              </w:rPr>
              <w:t>/</w:t>
            </w:r>
            <w:r>
              <w:rPr>
                <w:rFonts w:hint="eastAsia" w:ascii="宋体" w:hAnsi="宋体" w:cs="宋体"/>
                <w:color w:val="000000"/>
                <w:kern w:val="0"/>
                <w:szCs w:val="21"/>
              </w:rPr>
              <w:t>重庆市永川区青城路66号66-10</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重庆市江北区石马河宏盛路23号</w:t>
            </w:r>
          </w:p>
        </w:tc>
        <w:tc>
          <w:tcPr>
            <w:tcW w:w="571" w:type="dxa"/>
            <w:vAlign w:val="center"/>
          </w:tcPr>
          <w:p>
            <w:pPr>
              <w:spacing w:before="40" w:after="40"/>
              <w:rPr>
                <w:rFonts w:eastAsia="黑体"/>
                <w:szCs w:val="21"/>
              </w:rPr>
            </w:pPr>
            <w:r>
              <w:rPr>
                <w:rFonts w:hint="eastAsia" w:eastAsia="黑体"/>
                <w:szCs w:val="21"/>
              </w:rPr>
              <w:t>25</w:t>
            </w:r>
          </w:p>
        </w:tc>
        <w:tc>
          <w:tcPr>
            <w:tcW w:w="2803" w:type="dxa"/>
            <w:vAlign w:val="center"/>
          </w:tcPr>
          <w:p>
            <w:pPr>
              <w:widowControl/>
              <w:jc w:val="left"/>
              <w:rPr>
                <w:rFonts w:hint="eastAsia" w:ascii="宋体" w:hAnsi="宋体" w:cs="宋体"/>
                <w:color w:val="000000"/>
                <w:kern w:val="0"/>
                <w:szCs w:val="21"/>
              </w:rPr>
            </w:pPr>
            <w:bookmarkStart w:id="31" w:name="审核范围"/>
            <w:r>
              <w:rPr>
                <w:rFonts w:hint="eastAsia" w:ascii="宋体" w:hAnsi="宋体" w:cs="宋体"/>
                <w:color w:val="000000"/>
                <w:kern w:val="0"/>
                <w:szCs w:val="21"/>
              </w:rPr>
              <w:t>EC：资质范围内的建筑工程施工</w:t>
            </w:r>
          </w:p>
          <w:p>
            <w:pPr>
              <w:widowControl/>
              <w:jc w:val="left"/>
              <w:rPr>
                <w:rFonts w:hint="eastAsia" w:ascii="宋体" w:hAnsi="宋体" w:cs="宋体"/>
                <w:color w:val="000000"/>
                <w:kern w:val="0"/>
                <w:szCs w:val="21"/>
              </w:rPr>
            </w:pPr>
            <w:r>
              <w:rPr>
                <w:rFonts w:hint="eastAsia" w:ascii="宋体" w:hAnsi="宋体" w:cs="宋体"/>
                <w:color w:val="000000"/>
                <w:kern w:val="0"/>
                <w:szCs w:val="21"/>
              </w:rPr>
              <w:t>E：资质范围内的建筑工程施工所涉及场所的相关环境管理活动</w:t>
            </w:r>
          </w:p>
          <w:p>
            <w:pPr>
              <w:pStyle w:val="19"/>
              <w:rPr>
                <w:rFonts w:eastAsia="黑体" w:cs="Arial"/>
                <w:sz w:val="21"/>
                <w:szCs w:val="21"/>
                <w:lang w:val="en-US" w:eastAsia="ja-JP"/>
              </w:rPr>
            </w:pPr>
            <w:r>
              <w:rPr>
                <w:rFonts w:hint="eastAsia" w:ascii="宋体" w:hAnsi="宋体" w:cs="宋体"/>
                <w:color w:val="000000"/>
                <w:kern w:val="0"/>
                <w:szCs w:val="21"/>
              </w:rPr>
              <w:t>O：资质范围内的建筑工程施工所涉及场所的相关职业健康安全管理活动</w:t>
            </w:r>
            <w:bookmarkEnd w:id="31"/>
          </w:p>
        </w:tc>
        <w:tc>
          <w:tcPr>
            <w:tcW w:w="669" w:type="dxa"/>
            <w:vAlign w:val="center"/>
          </w:tcPr>
          <w:p>
            <w:pPr>
              <w:rPr>
                <w:rFonts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spacing w:before="40" w:after="40"/>
              <w:rPr>
                <w:rFonts w:eastAsia="黑体"/>
                <w:szCs w:val="21"/>
                <w:lang w:eastAsia="ja-JP"/>
              </w:rPr>
            </w:pPr>
          </w:p>
        </w:tc>
        <w:tc>
          <w:tcPr>
            <w:tcW w:w="668" w:type="dxa"/>
            <w:shd w:val="clear" w:color="auto" w:fill="FFFFFF"/>
          </w:tcPr>
          <w:p>
            <w:pPr>
              <w:rPr>
                <w:rFonts w:eastAsia="黑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tcPr>
          <w:p>
            <w:pPr>
              <w:spacing w:before="40" w:after="40"/>
              <w:rPr>
                <w:szCs w:val="21"/>
              </w:rPr>
            </w:pPr>
            <w:r>
              <w:rPr>
                <w:rFonts w:hint="eastAsia" w:ascii="宋体" w:hAnsi="宋体" w:cs="宋体"/>
                <w:color w:val="000000"/>
                <w:kern w:val="0"/>
                <w:szCs w:val="21"/>
              </w:rPr>
              <w:t>重庆厦宇建筑工程有限公司</w:t>
            </w:r>
            <w:r>
              <w:rPr>
                <w:rFonts w:hint="eastAsia" w:ascii="宋体"/>
                <w:b/>
                <w:color w:val="000000"/>
                <w:szCs w:val="21"/>
              </w:rPr>
              <w:t>/</w:t>
            </w:r>
            <w:r>
              <w:rPr>
                <w:rFonts w:hint="eastAsia" w:ascii="宋体" w:hAnsi="宋体" w:cs="宋体"/>
                <w:color w:val="000000"/>
                <w:kern w:val="0"/>
                <w:szCs w:val="21"/>
              </w:rPr>
              <w:t>重庆市永川区青城路66号66-10</w:t>
            </w:r>
          </w:p>
        </w:tc>
        <w:tc>
          <w:tcPr>
            <w:tcW w:w="2267" w:type="dxa"/>
            <w:vAlign w:val="center"/>
          </w:tcPr>
          <w:p>
            <w:pPr>
              <w:spacing w:before="40" w:after="40"/>
              <w:rPr>
                <w:rFonts w:eastAsia="黑体"/>
                <w:szCs w:val="21"/>
                <w:lang w:eastAsia="ja-JP"/>
              </w:rPr>
            </w:pPr>
            <w:r>
              <w:rPr>
                <w:rFonts w:ascii="Helvetica" w:hAnsi="Helvetica" w:eastAsia="Helvetica" w:cs="Helvetica"/>
                <w:color w:val="333333"/>
                <w:szCs w:val="21"/>
                <w:shd w:val="clear" w:color="auto" w:fill="FFFFFF"/>
              </w:rPr>
              <w:t>重庆市梁平区双桂新城银桂路</w:t>
            </w:r>
          </w:p>
        </w:tc>
        <w:tc>
          <w:tcPr>
            <w:tcW w:w="571" w:type="dxa"/>
            <w:vAlign w:val="center"/>
          </w:tcPr>
          <w:p>
            <w:pPr>
              <w:spacing w:before="40" w:after="40"/>
              <w:rPr>
                <w:rFonts w:eastAsia="黑体"/>
                <w:szCs w:val="21"/>
                <w:lang w:eastAsia="ja-JP"/>
              </w:rPr>
            </w:pPr>
            <w:r>
              <w:rPr>
                <w:rFonts w:hint="eastAsia" w:eastAsia="黑体"/>
                <w:szCs w:val="21"/>
              </w:rPr>
              <w:t>20</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EC：资质范围内的建筑工程施工</w:t>
            </w:r>
          </w:p>
          <w:p>
            <w:pPr>
              <w:widowControl/>
              <w:jc w:val="left"/>
              <w:rPr>
                <w:rFonts w:hint="eastAsia" w:ascii="宋体" w:hAnsi="宋体" w:cs="宋体"/>
                <w:color w:val="000000"/>
                <w:kern w:val="0"/>
                <w:szCs w:val="21"/>
              </w:rPr>
            </w:pPr>
            <w:r>
              <w:rPr>
                <w:rFonts w:hint="eastAsia" w:ascii="宋体" w:hAnsi="宋体" w:cs="宋体"/>
                <w:color w:val="000000"/>
                <w:kern w:val="0"/>
                <w:szCs w:val="21"/>
              </w:rPr>
              <w:t>E：资质范围内的建筑工程施工所涉及场所的相关环境管理活动</w:t>
            </w:r>
          </w:p>
          <w:p>
            <w:pPr>
              <w:pStyle w:val="19"/>
              <w:rPr>
                <w:rFonts w:eastAsia="黑体" w:cs="Arial"/>
                <w:sz w:val="21"/>
                <w:szCs w:val="21"/>
                <w:lang w:val="en-US" w:eastAsia="ja-JP"/>
              </w:rPr>
            </w:pPr>
            <w:r>
              <w:rPr>
                <w:rFonts w:hint="eastAsia" w:ascii="宋体" w:hAnsi="宋体" w:cs="宋体"/>
                <w:color w:val="000000"/>
                <w:kern w:val="0"/>
                <w:szCs w:val="21"/>
              </w:rPr>
              <w:t>O：资质范围内的建筑工程施工所涉及场所的相关职业健康安全管理活动</w:t>
            </w:r>
          </w:p>
        </w:tc>
        <w:tc>
          <w:tcPr>
            <w:tcW w:w="669" w:type="dxa"/>
            <w:vAlign w:val="center"/>
          </w:tcPr>
          <w:p>
            <w:pPr>
              <w:rPr>
                <w:rFonts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ISO45001：2018</w:t>
            </w:r>
          </w:p>
          <w:p>
            <w:pPr>
              <w:spacing w:before="40" w:after="40"/>
              <w:rPr>
                <w:rFonts w:eastAsia="黑体"/>
                <w:szCs w:val="21"/>
                <w:lang w:eastAsia="ja-JP"/>
              </w:rPr>
            </w:pP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eastAsia="zh-CN"/>
              </w:rPr>
            </w:pPr>
            <w:r>
              <w:rPr>
                <w:rFonts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ascii="Wingdings" w:hAnsi="Wingdings"/>
                <w:color w:val="000000"/>
                <w:spacing w:val="-10"/>
                <w:szCs w:val="21"/>
              </w:rPr>
              <w:t>☐</w:t>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280"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280"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于2021年4月1日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2022年2月26日-27日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2022年3月21日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ascii="宋体"/>
                <w:color w:val="000000"/>
                <w:szCs w:val="21"/>
              </w:rPr>
              <w:t>施工</w:t>
            </w:r>
            <w:r>
              <w:rPr>
                <w:rFonts w:hint="eastAsia" w:ascii="宋体"/>
                <w:color w:val="000000"/>
                <w:szCs w:val="21"/>
              </w:rPr>
              <w:t xml:space="preserve"> 过程</w:t>
            </w:r>
          </w:p>
        </w:tc>
        <w:tc>
          <w:tcPr>
            <w:tcW w:w="1063"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ascii="宋体"/>
                <w:color w:val="000000"/>
                <w:spacing w:val="-10"/>
                <w:szCs w:val="21"/>
              </w:rPr>
              <w:t>隐蔽工程、焊接过程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设备租赁</w:t>
            </w:r>
          </w:p>
        </w:tc>
        <w:tc>
          <w:tcPr>
            <w:tcW w:w="1063"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hAns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s="宋体"/>
                <w:color w:val="000000"/>
                <w:spacing w:val="-10"/>
                <w:szCs w:val="21"/>
              </w:rPr>
              <w:t>■</w:t>
            </w:r>
            <w:r>
              <w:rPr>
                <w:rFonts w:hint="eastAsia" w:ascii="宋体" w:hAnsi="宋体"/>
                <w:b/>
                <w:color w:val="000000"/>
                <w:sz w:val="20"/>
                <w:szCs w:val="20"/>
              </w:rPr>
              <w:t>检验、</w:t>
            </w:r>
            <w:r>
              <w:rPr>
                <w:rFonts w:hint="eastAsia" w:ascii="宋体" w:hAnsi="宋体" w:cs="宋体"/>
                <w:color w:val="000000"/>
                <w:spacing w:val="-10"/>
                <w:szCs w:val="21"/>
              </w:rPr>
              <w:t>■</w:t>
            </w:r>
            <w:r>
              <w:rPr>
                <w:rFonts w:hint="eastAsia" w:ascii="宋体" w:hAnsi="宋体"/>
                <w:b/>
                <w:color w:val="000000"/>
                <w:sz w:val="20"/>
                <w:szCs w:val="20"/>
              </w:rPr>
              <w:t>采购过程</w:t>
            </w:r>
            <w:r>
              <w:rPr>
                <w:rFonts w:hint="eastAsia" w:ascii="宋体" w:hAnsi="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w:t>
            </w:r>
            <w:r>
              <w:rPr>
                <w:rFonts w:hint="eastAsia" w:ascii="宋体" w:hAnsi="宋体" w:cs="宋体"/>
                <w:color w:val="000000"/>
                <w:spacing w:val="-10"/>
                <w:szCs w:val="21"/>
              </w:rPr>
              <w:t>■</w:t>
            </w:r>
            <w:r>
              <w:rPr>
                <w:rFonts w:hint="eastAsia" w:ascii="宋体"/>
                <w:color w:val="000000"/>
                <w:spacing w:val="-10"/>
                <w:szCs w:val="21"/>
              </w:rPr>
              <w:t>动力装置场所、□危险化学品仓库、□污染物治疗设施、□危废堆放场所，</w:t>
            </w:r>
            <w:r>
              <w:rPr>
                <w:rFonts w:hint="eastAsia" w:ascii="宋体" w:hAnsi="宋体" w:cs="宋体"/>
                <w:color w:val="000000"/>
                <w:spacing w:val="-10"/>
                <w:szCs w:val="21"/>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6"/>
        <w:gridCol w:w="5631"/>
        <w:gridCol w:w="1004"/>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63" w:type="dxa"/>
            <w:gridSpan w:val="4"/>
            <w:shd w:val="clear" w:color="auto" w:fill="F3F3F3"/>
            <w:vAlign w:val="center"/>
          </w:tcPr>
          <w:p>
            <w:pPr>
              <w:spacing w:before="40" w:after="40"/>
              <w:rPr>
                <w:rFonts w:eastAsia="黑体"/>
                <w:szCs w:val="21"/>
              </w:rPr>
            </w:pPr>
            <w:r>
              <w:rPr>
                <w:rFonts w:ascii="Wingdings" w:hAnsi="Wingdings" w:eastAsia="黑体"/>
                <w:color w:val="000000"/>
                <w:spacing w:val="-10"/>
                <w:szCs w:val="21"/>
              </w:rPr>
              <w:t>☐</w:t>
            </w:r>
            <w:r>
              <w:rPr>
                <w:rFonts w:eastAsia="黑体"/>
                <w:b/>
                <w:szCs w:val="21"/>
              </w:rPr>
              <w:t>OHSAS 18001:2007</w:t>
            </w:r>
            <w:r>
              <w:rPr>
                <w:rFonts w:hint="eastAsia" w:eastAsia="黑体"/>
                <w:b/>
                <w:szCs w:val="21"/>
              </w:rPr>
              <w:t>/</w:t>
            </w:r>
            <w:r>
              <w:rPr>
                <w:rFonts w:ascii="Wingdings" w:hAnsi="Wingdings" w:eastAsia="黑体"/>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63"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充分</w:t>
            </w:r>
          </w:p>
        </w:tc>
        <w:tc>
          <w:tcPr>
            <w:tcW w:w="1792"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4" w:type="dxa"/>
            <w:shd w:val="clear" w:color="auto" w:fill="FFFF00"/>
          </w:tcPr>
          <w:p>
            <w:pPr>
              <w:rPr>
                <w:rFonts w:ascii="宋体"/>
                <w:color w:val="000000"/>
                <w:spacing w:val="-10"/>
                <w:szCs w:val="21"/>
              </w:rPr>
            </w:pP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4" w:type="dxa"/>
            <w:shd w:val="clear" w:color="auto" w:fill="FFFF00"/>
          </w:tcPr>
          <w:p>
            <w:pPr>
              <w:rPr>
                <w:rFonts w:ascii="宋体"/>
                <w:color w:val="000000"/>
                <w:spacing w:val="-10"/>
                <w:szCs w:val="21"/>
              </w:rPr>
            </w:pP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7"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4" w:type="dxa"/>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zCs w:val="21"/>
              </w:rPr>
              <w:t>是</w:t>
            </w:r>
          </w:p>
        </w:tc>
        <w:tc>
          <w:tcPr>
            <w:tcW w:w="1792"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31"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6"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vAlign w:val="center"/>
          </w:tcPr>
          <w:p>
            <w:pPr>
              <w:ind w:left="-1" w:leftChars="-1" w:hanging="1"/>
              <w:jc w:val="left"/>
              <w:rPr>
                <w:rFonts w:ascii="宋体"/>
                <w:color w:val="000000"/>
                <w:szCs w:val="21"/>
              </w:rPr>
            </w:pPr>
          </w:p>
        </w:tc>
        <w:tc>
          <w:tcPr>
            <w:tcW w:w="5631"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6"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vAlign w:val="center"/>
          </w:tcPr>
          <w:p>
            <w:pPr>
              <w:ind w:left="-1" w:leftChars="-1" w:hanging="1"/>
              <w:jc w:val="left"/>
              <w:rPr>
                <w:rFonts w:ascii="宋体"/>
                <w:color w:val="000000"/>
                <w:szCs w:val="21"/>
              </w:rPr>
            </w:pPr>
          </w:p>
        </w:tc>
        <w:tc>
          <w:tcPr>
            <w:tcW w:w="5631"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6"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vAlign w:val="center"/>
          </w:tcPr>
          <w:p>
            <w:pPr>
              <w:ind w:left="-1" w:leftChars="-1" w:hanging="1"/>
              <w:jc w:val="left"/>
              <w:rPr>
                <w:rFonts w:ascii="宋体"/>
                <w:color w:val="000000"/>
                <w:szCs w:val="21"/>
              </w:rPr>
            </w:pPr>
          </w:p>
        </w:tc>
        <w:tc>
          <w:tcPr>
            <w:tcW w:w="5631"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6"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vAlign w:val="center"/>
          </w:tcPr>
          <w:p>
            <w:pPr>
              <w:ind w:left="-1" w:leftChars="-1" w:hanging="1"/>
              <w:jc w:val="left"/>
              <w:rPr>
                <w:rFonts w:ascii="宋体"/>
                <w:color w:val="000000"/>
                <w:szCs w:val="21"/>
              </w:rPr>
            </w:pPr>
          </w:p>
        </w:tc>
        <w:tc>
          <w:tcPr>
            <w:tcW w:w="5631"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6"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31"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6"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tcPr>
          <w:p>
            <w:pPr>
              <w:ind w:left="168" w:leftChars="80"/>
              <w:rPr>
                <w:rFonts w:ascii="宋体"/>
                <w:color w:val="000000"/>
                <w:spacing w:val="-10"/>
                <w:szCs w:val="21"/>
              </w:rPr>
            </w:pPr>
          </w:p>
        </w:tc>
        <w:tc>
          <w:tcPr>
            <w:tcW w:w="5631"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6"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tcPr>
          <w:p>
            <w:pPr>
              <w:ind w:left="168" w:leftChars="80"/>
              <w:rPr>
                <w:rFonts w:ascii="宋体"/>
                <w:color w:val="000000"/>
                <w:spacing w:val="-10"/>
                <w:szCs w:val="21"/>
              </w:rPr>
            </w:pPr>
          </w:p>
        </w:tc>
        <w:tc>
          <w:tcPr>
            <w:tcW w:w="5631"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6"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vMerge w:val="continue"/>
            <w:shd w:val="clear" w:color="auto" w:fill="FFFF00"/>
          </w:tcPr>
          <w:p>
            <w:pPr>
              <w:ind w:left="168" w:leftChars="80"/>
              <w:rPr>
                <w:rFonts w:ascii="宋体"/>
                <w:color w:val="000000"/>
                <w:spacing w:val="-10"/>
                <w:szCs w:val="21"/>
              </w:rPr>
            </w:pPr>
          </w:p>
        </w:tc>
        <w:tc>
          <w:tcPr>
            <w:tcW w:w="5631"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6"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6"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27" w:type="dxa"/>
            <w:gridSpan w:val="3"/>
            <w:shd w:val="clear" w:color="auto" w:fill="FFFF00"/>
          </w:tcPr>
          <w:p>
            <w:pPr>
              <w:rPr>
                <w:rFonts w:ascii="宋体"/>
                <w:color w:val="000000"/>
                <w:spacing w:val="-10"/>
                <w:szCs w:val="21"/>
              </w:rPr>
            </w:pPr>
            <w:r>
              <w:rPr>
                <w:rFonts w:hint="eastAsia" w:ascii="宋体" w:hAnsi="宋体" w:cs="宋体"/>
                <w:color w:val="000000"/>
                <w:spacing w:val="-10"/>
                <w:szCs w:val="21"/>
              </w:rPr>
              <w:t>■</w:t>
            </w:r>
            <w:r>
              <w:rPr>
                <w:rFonts w:hint="eastAsia" w:ascii="宋体"/>
                <w:color w:val="000000"/>
                <w:spacing w:val="-10"/>
                <w:szCs w:val="21"/>
              </w:rPr>
              <w:t>安全和职业健康主管部门、</w:t>
            </w:r>
            <w:r>
              <w:rPr>
                <w:rFonts w:hint="eastAsia" w:ascii="宋体" w:hAnsi="宋体" w:cs="宋体"/>
                <w:color w:val="000000"/>
                <w:spacing w:val="-10"/>
                <w:szCs w:val="21"/>
              </w:rPr>
              <w:t>■</w:t>
            </w:r>
            <w:r>
              <w:rPr>
                <w:rFonts w:hint="eastAsia" w:ascii="宋体"/>
                <w:color w:val="000000"/>
                <w:spacing w:val="-10"/>
                <w:szCs w:val="21"/>
              </w:rPr>
              <w:t>职业危害场所、</w:t>
            </w:r>
            <w:r>
              <w:rPr>
                <w:rFonts w:hint="eastAsia" w:ascii="宋体" w:hAnsi="宋体" w:cs="宋体"/>
                <w:color w:val="000000"/>
                <w:spacing w:val="-10"/>
                <w:szCs w:val="21"/>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szCs w:val="21"/>
              </w:rPr>
            </w:pPr>
            <w:r>
              <w:rPr>
                <w:rFonts w:hint="eastAsia" w:ascii="宋体" w:hAnsi="宋体" w:cs="宋体"/>
                <w:color w:val="333333"/>
                <w:szCs w:val="21"/>
                <w:shd w:val="clear" w:color="auto" w:fill="FFFFFF"/>
              </w:rPr>
              <w:t>重庆市梁平区双桂新城银桂路</w:t>
            </w:r>
            <w:r>
              <w:rPr>
                <w:rFonts w:hint="eastAsia"/>
                <w:sz w:val="24"/>
              </w:rPr>
              <w:t>，</w:t>
            </w:r>
            <w:r>
              <w:rPr>
                <w:rFonts w:hint="eastAsia" w:ascii="宋体"/>
                <w:b/>
                <w:szCs w:val="21"/>
              </w:rPr>
              <w:t>车程90分钟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2" w:name="二阶段审核日期"/>
            <w:r>
              <w:rPr>
                <w:rFonts w:hint="eastAsia" w:ascii="宋体"/>
                <w:b/>
                <w:color w:val="000000"/>
                <w:szCs w:val="21"/>
              </w:rPr>
              <w:t>2022-05-</w:t>
            </w:r>
            <w:bookmarkEnd w:id="32"/>
            <w:r>
              <w:rPr>
                <w:rFonts w:hint="eastAsia" w:ascii="宋体"/>
                <w:b/>
                <w:color w:val="000000"/>
                <w:szCs w:val="21"/>
              </w:rPr>
              <w:t>15</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cs="宋体"/>
                <w:b/>
                <w:color w:val="000000"/>
                <w:spacing w:val="-10"/>
                <w:szCs w:val="21"/>
                <w:lang w:val="de-DE"/>
              </w:rPr>
              <w:t>■</w:t>
            </w:r>
            <w:r>
              <w:rPr>
                <w:rFonts w:ascii="宋体" w:hAnsi="宋体"/>
                <w:b/>
                <w:color w:val="000000"/>
                <w:szCs w:val="21"/>
              </w:rPr>
              <w:t>QMS/</w:t>
            </w:r>
            <w:r>
              <w:rPr>
                <w:rFonts w:hint="eastAsia" w:ascii="宋体" w:hAnsi="宋体" w:cs="宋体"/>
                <w:b/>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cs="宋体"/>
                <w:b/>
                <w:color w:val="000000"/>
                <w:szCs w:val="21"/>
              </w:rPr>
              <w:t>■</w:t>
            </w:r>
            <w:r>
              <w:rPr>
                <w:rFonts w:ascii="宋体" w:hAnsi="宋体"/>
                <w:b/>
                <w:color w:val="000000"/>
                <w:szCs w:val="21"/>
              </w:rPr>
              <w:t>EMS/</w:t>
            </w:r>
            <w:r>
              <w:rPr>
                <w:rFonts w:hint="eastAsia" w:ascii="宋体" w:hAnsi="宋体" w:cs="宋体"/>
                <w:b/>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cs="宋体"/>
                <w:b/>
                <w:color w:val="000000"/>
                <w:spacing w:val="-10"/>
                <w:szCs w:val="21"/>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zCs w:val="21"/>
              </w:rPr>
            </w:pPr>
            <w:r>
              <w:rPr>
                <w:rFonts w:hint="eastAsia" w:ascii="宋体"/>
                <w:b/>
                <w:szCs w:val="21"/>
              </w:rPr>
              <w:t>可能降低可靠性的障碍</w:t>
            </w:r>
          </w:p>
        </w:tc>
        <w:tc>
          <w:tcPr>
            <w:tcW w:w="7415" w:type="dxa"/>
            <w:gridSpan w:val="2"/>
            <w:tcMar>
              <w:left w:w="113" w:type="dxa"/>
            </w:tcMar>
            <w:vAlign w:val="center"/>
          </w:tcPr>
          <w:p>
            <w:pPr>
              <w:rPr>
                <w:rFonts w:ascii="宋体"/>
                <w:b/>
                <w:szCs w:val="21"/>
              </w:rPr>
            </w:pPr>
            <w:r>
              <w:rPr>
                <w:rFonts w:hint="eastAsia" w:ascii="宋体" w:hAnsi="宋体" w:cs="宋体"/>
                <w:b/>
                <w:szCs w:val="21"/>
              </w:rPr>
              <w:t>■</w:t>
            </w:r>
            <w:r>
              <w:rPr>
                <w:rFonts w:hint="eastAsia" w:ascii="宋体"/>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zCs w:val="21"/>
              </w:rPr>
            </w:pPr>
            <w:r>
              <w:rPr>
                <w:rFonts w:hint="eastAsia" w:ascii="宋体"/>
                <w:b/>
                <w:szCs w:val="21"/>
              </w:rPr>
              <w:t>突发事件的情况</w:t>
            </w:r>
          </w:p>
        </w:tc>
        <w:tc>
          <w:tcPr>
            <w:tcW w:w="7415" w:type="dxa"/>
            <w:gridSpan w:val="2"/>
            <w:tcMar>
              <w:left w:w="113" w:type="dxa"/>
            </w:tcMar>
            <w:vAlign w:val="center"/>
          </w:tcPr>
          <w:p>
            <w:pPr>
              <w:rPr>
                <w:rFonts w:ascii="宋体"/>
                <w:b/>
                <w:szCs w:val="21"/>
              </w:rPr>
            </w:pPr>
            <w:r>
              <w:rPr>
                <w:rFonts w:hint="eastAsia" w:ascii="宋体" w:hAnsi="宋体" w:cs="宋体"/>
                <w:b/>
                <w:szCs w:val="21"/>
              </w:rPr>
              <w:t>■</w:t>
            </w:r>
            <w:r>
              <w:rPr>
                <w:rFonts w:hint="eastAsia" w:ascii="宋体"/>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zCs w:val="21"/>
              </w:rPr>
            </w:pPr>
            <w:r>
              <w:rPr>
                <w:rFonts w:hint="eastAsia" w:ascii="宋体"/>
                <w:b/>
                <w:szCs w:val="21"/>
              </w:rPr>
              <w:t>突发事件的处置措施</w:t>
            </w:r>
          </w:p>
        </w:tc>
        <w:tc>
          <w:tcPr>
            <w:tcW w:w="7415" w:type="dxa"/>
            <w:gridSpan w:val="2"/>
            <w:tcMar>
              <w:left w:w="113" w:type="dxa"/>
            </w:tcMar>
            <w:vAlign w:val="center"/>
          </w:tcPr>
          <w:p>
            <w:pPr>
              <w:rPr>
                <w:rFonts w:ascii="宋体"/>
                <w:b/>
                <w:szCs w:val="21"/>
              </w:rPr>
            </w:pPr>
            <w:r>
              <w:rPr>
                <w:rFonts w:hint="eastAsia" w:ascii="宋体"/>
                <w:b/>
                <w:szCs w:val="21"/>
              </w:rPr>
              <w:t>□中止审核□终止审核□延迟审核□改为现场审核</w:t>
            </w:r>
          </w:p>
          <w:p>
            <w:pPr>
              <w:rPr>
                <w:rFonts w:ascii="宋体"/>
                <w:b/>
                <w:szCs w:val="21"/>
              </w:rPr>
            </w:pPr>
            <w:r>
              <w:rPr>
                <w:rFonts w:hint="eastAsia" w:ascii="宋体"/>
                <w:b/>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zCs w:val="21"/>
              </w:rPr>
            </w:pPr>
            <w:r>
              <w:rPr>
                <w:rFonts w:hint="eastAsia" w:ascii="宋体" w:hAnsi="宋体" w:cs="宋体"/>
                <w:b/>
                <w:szCs w:val="21"/>
              </w:rPr>
              <w:t>■</w:t>
            </w:r>
            <w:r>
              <w:rPr>
                <w:rFonts w:hint="eastAsia" w:ascii="宋体"/>
                <w:b/>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zCs w:val="21"/>
              </w:rPr>
            </w:pPr>
            <w:r>
              <w:rPr>
                <w:rFonts w:hint="eastAsia" w:ascii="宋体"/>
                <w:b/>
                <w:szCs w:val="21"/>
              </w:rPr>
              <w:t>□远程审核未达到审核目的，需要再次实施一阶段现场审核</w:t>
            </w:r>
          </w:p>
        </w:tc>
      </w:tr>
    </w:tbl>
    <w:p>
      <w:pPr>
        <w:spacing w:line="240" w:lineRule="exact"/>
        <w:rPr>
          <w:rFonts w:ascii="宋体"/>
          <w:b/>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215"/>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cs="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cs="宋体"/>
                <w:b/>
                <w:color w:val="000000"/>
                <w:spacing w:val="-10"/>
                <w:szCs w:val="21"/>
                <w:lang w:val="de-DE"/>
              </w:rPr>
              <w:t>■</w:t>
            </w:r>
            <w:r>
              <w:rPr>
                <w:rFonts w:ascii="宋体" w:hAnsi="宋体"/>
                <w:b/>
                <w:color w:val="000000"/>
                <w:szCs w:val="21"/>
              </w:rPr>
              <w:t>EMS/</w:t>
            </w:r>
            <w:r>
              <w:rPr>
                <w:rFonts w:hint="eastAsia" w:ascii="宋体" w:hAnsi="宋体" w:cs="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215" w:type="dxa"/>
            <w:vAlign w:val="center"/>
          </w:tcPr>
          <w:p>
            <w:pPr>
              <w:spacing w:line="400" w:lineRule="exact"/>
              <w:rPr>
                <w:rFonts w:ascii="宋体" w:hAnsi="宋体"/>
                <w:b/>
                <w:color w:val="000000"/>
                <w:szCs w:val="21"/>
              </w:rPr>
            </w:pPr>
          </w:p>
        </w:tc>
        <w:tc>
          <w:tcPr>
            <w:tcW w:w="216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215" w:type="dxa"/>
            <w:vAlign w:val="center"/>
          </w:tcPr>
          <w:p>
            <w:pPr>
              <w:spacing w:line="400" w:lineRule="exact"/>
              <w:rPr>
                <w:rFonts w:ascii="宋体" w:hAnsi="宋体"/>
                <w:b/>
                <w:color w:val="000000"/>
                <w:szCs w:val="21"/>
              </w:rPr>
            </w:pPr>
          </w:p>
        </w:tc>
        <w:tc>
          <w:tcPr>
            <w:tcW w:w="216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215" w:type="dxa"/>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资质范围内的建筑工程施工</w:t>
            </w:r>
          </w:p>
        </w:tc>
        <w:tc>
          <w:tcPr>
            <w:tcW w:w="2167" w:type="dxa"/>
            <w:vAlign w:val="center"/>
          </w:tcPr>
          <w:p>
            <w:pPr>
              <w:spacing w:line="400" w:lineRule="exact"/>
              <w:rPr>
                <w:rFonts w:ascii="宋体" w:hAnsi="宋体"/>
                <w:b/>
                <w:color w:val="000000"/>
                <w:szCs w:val="21"/>
              </w:rPr>
            </w:pPr>
            <w:r>
              <w:rPr>
                <w:rFonts w:hint="eastAsia" w:ascii="宋体" w:hAnsi="宋体" w:cs="宋体"/>
                <w:color w:val="000000"/>
                <w:kern w:val="0"/>
              </w:rPr>
              <w:t>28.02.00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215" w:type="dxa"/>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资质范围内的建筑工程施工</w:t>
            </w:r>
            <w:r>
              <w:t>所涉及场所的相关环境管理活动</w:t>
            </w:r>
          </w:p>
        </w:tc>
        <w:tc>
          <w:tcPr>
            <w:tcW w:w="2167" w:type="dxa"/>
            <w:vAlign w:val="center"/>
          </w:tcPr>
          <w:p>
            <w:pPr>
              <w:spacing w:line="400" w:lineRule="exact"/>
              <w:rPr>
                <w:rFonts w:ascii="宋体" w:hAnsi="宋体"/>
                <w:b/>
                <w:color w:val="000000"/>
                <w:szCs w:val="21"/>
              </w:rPr>
            </w:pPr>
            <w:r>
              <w:rPr>
                <w:rFonts w:hint="eastAsia" w:ascii="宋体" w:hAnsi="宋体" w:cs="宋体"/>
                <w:color w:val="000000"/>
                <w:kern w:val="0"/>
              </w:rPr>
              <w:t>28.02.00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215" w:type="dxa"/>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资质范围内的建筑工程施工</w:t>
            </w:r>
            <w:r>
              <w:t>所涉及场所的相关职业健康安全管理活动</w:t>
            </w:r>
          </w:p>
        </w:tc>
        <w:tc>
          <w:tcPr>
            <w:tcW w:w="2167" w:type="dxa"/>
            <w:vAlign w:val="center"/>
          </w:tcPr>
          <w:p>
            <w:pPr>
              <w:spacing w:line="400" w:lineRule="exact"/>
              <w:rPr>
                <w:rFonts w:ascii="宋体" w:hAnsi="宋体"/>
                <w:b/>
                <w:color w:val="000000"/>
                <w:szCs w:val="21"/>
              </w:rPr>
            </w:pPr>
            <w:r>
              <w:rPr>
                <w:rFonts w:hint="eastAsia" w:ascii="宋体" w:hAnsi="宋体" w:cs="宋体"/>
                <w:color w:val="000000"/>
                <w:kern w:val="0"/>
              </w:rPr>
              <w:t>28.02.00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215" w:type="dxa"/>
            <w:vAlign w:val="center"/>
          </w:tcPr>
          <w:p>
            <w:pPr>
              <w:spacing w:line="400" w:lineRule="exact"/>
              <w:rPr>
                <w:rFonts w:ascii="宋体" w:hAnsi="宋体"/>
                <w:b/>
                <w:color w:val="000000"/>
                <w:szCs w:val="21"/>
              </w:rPr>
            </w:pPr>
          </w:p>
        </w:tc>
        <w:tc>
          <w:tcPr>
            <w:tcW w:w="216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215" w:type="dxa"/>
            <w:vAlign w:val="center"/>
          </w:tcPr>
          <w:p>
            <w:pPr>
              <w:spacing w:line="400" w:lineRule="exact"/>
              <w:rPr>
                <w:rFonts w:ascii="宋体" w:hAnsi="宋体"/>
                <w:b/>
                <w:color w:val="000000"/>
                <w:szCs w:val="21"/>
              </w:rPr>
            </w:pPr>
          </w:p>
        </w:tc>
        <w:tc>
          <w:tcPr>
            <w:tcW w:w="216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215" w:type="dxa"/>
            <w:vAlign w:val="center"/>
          </w:tcPr>
          <w:p>
            <w:pPr>
              <w:spacing w:line="400" w:lineRule="exact"/>
              <w:rPr>
                <w:rFonts w:ascii="宋体" w:hAnsi="宋体"/>
                <w:b/>
                <w:color w:val="000000"/>
                <w:szCs w:val="21"/>
              </w:rPr>
            </w:pPr>
          </w:p>
        </w:tc>
        <w:tc>
          <w:tcPr>
            <w:tcW w:w="2167" w:type="dxa"/>
            <w:vAlign w:val="center"/>
          </w:tcPr>
          <w:p>
            <w:pPr>
              <w:spacing w:line="400" w:lineRule="exact"/>
              <w:rPr>
                <w:rFonts w:ascii="宋体" w:hAnsi="宋体"/>
                <w:b/>
                <w:color w:val="000000"/>
                <w:szCs w:val="21"/>
              </w:rPr>
            </w:pPr>
          </w:p>
        </w:tc>
      </w:tr>
    </w:tbl>
    <w:p>
      <w:pPr>
        <w:spacing w:beforeLines="50" w:line="360" w:lineRule="exact"/>
        <w:ind w:firstLine="211" w:firstLineChars="100"/>
        <w:rPr>
          <w:rFonts w:ascii="宋体" w:hAnsi="宋体"/>
          <w:b/>
          <w:color w:val="000000"/>
          <w:szCs w:val="21"/>
        </w:rPr>
      </w:pPr>
    </w:p>
    <w:p>
      <w:pPr>
        <w:spacing w:beforeLines="50"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6432" behindDoc="0" locked="0" layoutInCell="1" allowOverlap="1">
            <wp:simplePos x="0" y="0"/>
            <wp:positionH relativeFrom="column">
              <wp:posOffset>4591050</wp:posOffset>
            </wp:positionH>
            <wp:positionV relativeFrom="paragraph">
              <wp:posOffset>311785</wp:posOffset>
            </wp:positionV>
            <wp:extent cx="755650" cy="372110"/>
            <wp:effectExtent l="0" t="0" r="6350" b="8890"/>
            <wp:wrapNone/>
            <wp:docPr id="5" name="图片 5" descr="7d9bb21c9d1ad437ad066802ea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d9bb21c9d1ad437ad066802ea70132"/>
                    <pic:cNvPicPr>
                      <a:picLocks noChangeAspect="1"/>
                    </pic:cNvPicPr>
                  </pic:nvPicPr>
                  <pic:blipFill>
                    <a:blip r:embed="rId6"/>
                    <a:stretch>
                      <a:fillRect/>
                    </a:stretch>
                  </pic:blipFill>
                  <pic:spPr>
                    <a:xfrm>
                      <a:off x="0" y="0"/>
                      <a:ext cx="755650" cy="372110"/>
                    </a:xfrm>
                    <a:prstGeom prst="rect">
                      <a:avLst/>
                    </a:prstGeom>
                  </pic:spPr>
                </pic:pic>
              </a:graphicData>
            </a:graphic>
          </wp:anchor>
        </w:drawing>
      </w:r>
      <w:r>
        <w:rPr>
          <w:rFonts w:hint="eastAsia"/>
          <w:sz w:val="22"/>
          <w:szCs w:val="22"/>
        </w:rPr>
        <w:drawing>
          <wp:anchor distT="0" distB="0" distL="114300" distR="114300" simplePos="0" relativeHeight="251665408" behindDoc="0" locked="0" layoutInCell="1" allowOverlap="1">
            <wp:simplePos x="0" y="0"/>
            <wp:positionH relativeFrom="column">
              <wp:posOffset>3722370</wp:posOffset>
            </wp:positionH>
            <wp:positionV relativeFrom="paragraph">
              <wp:posOffset>190500</wp:posOffset>
            </wp:positionV>
            <wp:extent cx="774700" cy="560070"/>
            <wp:effectExtent l="0" t="0" r="0" b="1143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774700" cy="560070"/>
                    </a:xfrm>
                    <a:prstGeom prst="rect">
                      <a:avLst/>
                    </a:prstGeom>
                    <a:noFill/>
                    <a:ln w="9525">
                      <a:noFill/>
                      <a:miter lim="800000"/>
                      <a:headEnd/>
                      <a:tailEnd/>
                    </a:ln>
                  </pic:spPr>
                </pic:pic>
              </a:graphicData>
            </a:graphic>
          </wp:anchor>
        </w:drawing>
      </w:r>
      <w:r>
        <w:rPr>
          <w:rFonts w:hint="eastAsia"/>
          <w:sz w:val="22"/>
          <w:szCs w:val="22"/>
        </w:rPr>
        <w:drawing>
          <wp:anchor distT="0" distB="0" distL="114300" distR="114300" simplePos="0" relativeHeight="251664384" behindDoc="0" locked="0" layoutInCell="1" allowOverlap="1">
            <wp:simplePos x="0" y="0"/>
            <wp:positionH relativeFrom="column">
              <wp:posOffset>1895475</wp:posOffset>
            </wp:positionH>
            <wp:positionV relativeFrom="paragraph">
              <wp:posOffset>208280</wp:posOffset>
            </wp:positionV>
            <wp:extent cx="381000" cy="409575"/>
            <wp:effectExtent l="19050" t="0" r="0" b="0"/>
            <wp:wrapNone/>
            <wp:docPr id="3"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663e8446d72d036b049d64dde864356.png"/>
                    <pic:cNvPicPr>
                      <a:picLocks noChangeAspect="1" noChangeArrowheads="1"/>
                    </pic:cNvPicPr>
                  </pic:nvPicPr>
                  <pic:blipFill>
                    <a:blip r:embed="rId8" cstate="print"/>
                    <a:srcRect/>
                    <a:stretch>
                      <a:fillRect/>
                    </a:stretch>
                  </pic:blipFill>
                  <pic:spPr>
                    <a:xfrm>
                      <a:off x="0" y="0"/>
                      <a:ext cx="381000" cy="409575"/>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bookmarkStart w:id="33" w:name="_GoBack"/>
      <w:bookmarkEnd w:id="33"/>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2022年4月29日</w:t>
      </w:r>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重庆厦宇建筑工程有限公司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617"/>
        <w:gridCol w:w="2410"/>
        <w:gridCol w:w="143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405"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1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43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r>
              <w:rPr>
                <w:rFonts w:hint="eastAsia" w:ascii="宋体"/>
                <w:color w:val="000000"/>
                <w:sz w:val="21"/>
                <w:szCs w:val="21"/>
              </w:rPr>
              <w:t>1</w:t>
            </w:r>
          </w:p>
        </w:tc>
        <w:tc>
          <w:tcPr>
            <w:tcW w:w="4405" w:type="dxa"/>
            <w:gridSpan w:val="2"/>
            <w:vAlign w:val="center"/>
          </w:tcPr>
          <w:p>
            <w:pPr>
              <w:pStyle w:val="6"/>
              <w:pBdr>
                <w:bottom w:val="none" w:color="auto" w:sz="0" w:space="0"/>
              </w:pBdr>
              <w:tabs>
                <w:tab w:val="center" w:pos="5737"/>
                <w:tab w:val="clear" w:pos="4153"/>
              </w:tabs>
              <w:jc w:val="both"/>
              <w:rPr>
                <w:color w:val="000000" w:themeColor="text1"/>
                <w:sz w:val="21"/>
                <w:szCs w:val="21"/>
              </w:rPr>
            </w:pPr>
            <w:r>
              <w:rPr>
                <w:rFonts w:hint="eastAsia" w:eastAsia="宋体" w:cs="Times New Roman"/>
                <w:color w:val="000000" w:themeColor="text1"/>
                <w:sz w:val="21"/>
                <w:szCs w:val="21"/>
              </w:rPr>
              <w:t>全站仪、水准仪、铅垂仪、经纬仪、水平仪等不能提供有效校准或检定证书</w:t>
            </w:r>
          </w:p>
        </w:tc>
        <w:tc>
          <w:tcPr>
            <w:tcW w:w="2410" w:type="dxa"/>
            <w:vAlign w:val="center"/>
          </w:tcPr>
          <w:p>
            <w:pPr>
              <w:pStyle w:val="6"/>
              <w:pBdr>
                <w:bottom w:val="none" w:color="auto" w:sz="0" w:space="0"/>
              </w:pBdr>
              <w:ind w:right="600"/>
              <w:jc w:val="both"/>
              <w:rPr>
                <w:color w:val="000000" w:themeColor="text1"/>
                <w:sz w:val="21"/>
                <w:szCs w:val="21"/>
              </w:rPr>
            </w:pPr>
            <w:r>
              <w:rPr>
                <w:rFonts w:hint="eastAsia"/>
                <w:color w:val="000000" w:themeColor="text1"/>
                <w:sz w:val="21"/>
                <w:szCs w:val="21"/>
              </w:rPr>
              <w:t>GB/T19001-2026、GB/T50430-2017</w:t>
            </w:r>
          </w:p>
        </w:tc>
        <w:tc>
          <w:tcPr>
            <w:tcW w:w="1431" w:type="dxa"/>
            <w:vAlign w:val="center"/>
          </w:tcPr>
          <w:p>
            <w:pPr>
              <w:pStyle w:val="6"/>
              <w:pBdr>
                <w:bottom w:val="none" w:color="auto" w:sz="0" w:space="0"/>
              </w:pBdr>
              <w:ind w:right="600"/>
              <w:jc w:val="both"/>
              <w:rPr>
                <w:color w:val="000000" w:themeColor="text1"/>
                <w:sz w:val="21"/>
                <w:szCs w:val="21"/>
              </w:rPr>
            </w:pPr>
            <w:r>
              <w:rPr>
                <w:rFonts w:hint="eastAsia"/>
                <w:color w:val="000000" w:themeColor="text1"/>
                <w:sz w:val="21"/>
                <w:szCs w:val="21"/>
              </w:rPr>
              <w:t>7.1.5/11.4.2</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410" w:type="dxa"/>
            <w:vAlign w:val="center"/>
          </w:tcPr>
          <w:p>
            <w:pPr>
              <w:pStyle w:val="6"/>
              <w:pBdr>
                <w:bottom w:val="none" w:color="auto" w:sz="0" w:space="0"/>
              </w:pBdr>
              <w:ind w:right="600"/>
              <w:jc w:val="both"/>
              <w:rPr>
                <w:color w:val="000000"/>
                <w:sz w:val="21"/>
                <w:szCs w:val="21"/>
              </w:rPr>
            </w:pPr>
          </w:p>
        </w:tc>
        <w:tc>
          <w:tcPr>
            <w:tcW w:w="143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410" w:type="dxa"/>
            <w:vAlign w:val="center"/>
          </w:tcPr>
          <w:p>
            <w:pPr>
              <w:pStyle w:val="6"/>
              <w:pBdr>
                <w:bottom w:val="none" w:color="auto" w:sz="0" w:space="0"/>
              </w:pBdr>
              <w:ind w:right="600"/>
              <w:jc w:val="both"/>
              <w:rPr>
                <w:color w:val="000000"/>
                <w:sz w:val="21"/>
                <w:szCs w:val="21"/>
              </w:rPr>
            </w:pPr>
          </w:p>
        </w:tc>
        <w:tc>
          <w:tcPr>
            <w:tcW w:w="143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410" w:type="dxa"/>
            <w:vAlign w:val="center"/>
          </w:tcPr>
          <w:p>
            <w:pPr>
              <w:pStyle w:val="6"/>
              <w:pBdr>
                <w:bottom w:val="none" w:color="auto" w:sz="0" w:space="0"/>
              </w:pBdr>
              <w:ind w:right="600"/>
              <w:jc w:val="both"/>
              <w:rPr>
                <w:color w:val="000000"/>
                <w:sz w:val="21"/>
                <w:szCs w:val="21"/>
              </w:rPr>
            </w:pPr>
          </w:p>
        </w:tc>
        <w:tc>
          <w:tcPr>
            <w:tcW w:w="143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40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410" w:type="dxa"/>
            <w:vAlign w:val="center"/>
          </w:tcPr>
          <w:p>
            <w:pPr>
              <w:pStyle w:val="6"/>
              <w:pBdr>
                <w:bottom w:val="none" w:color="auto" w:sz="0" w:space="0"/>
              </w:pBdr>
              <w:ind w:right="600"/>
              <w:jc w:val="both"/>
              <w:rPr>
                <w:color w:val="000000"/>
                <w:sz w:val="21"/>
                <w:szCs w:val="21"/>
              </w:rPr>
            </w:pPr>
          </w:p>
        </w:tc>
        <w:tc>
          <w:tcPr>
            <w:tcW w:w="143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736" w:type="dxa"/>
            <w:gridSpan w:val="2"/>
          </w:tcPr>
          <w:p>
            <w:pPr>
              <w:spacing w:line="280" w:lineRule="exact"/>
              <w:rPr>
                <w:b/>
                <w:color w:val="000000"/>
                <w:szCs w:val="21"/>
              </w:rPr>
            </w:pPr>
            <w:r>
              <w:rPr>
                <w:rFonts w:hint="eastAsia"/>
                <w:b/>
                <w:color w:val="000000"/>
                <w:szCs w:val="21"/>
              </w:rPr>
              <w:drawing>
                <wp:anchor distT="0" distB="0" distL="114300" distR="114300" simplePos="0" relativeHeight="251662336" behindDoc="0" locked="0" layoutInCell="1" allowOverlap="1">
                  <wp:simplePos x="0" y="0"/>
                  <wp:positionH relativeFrom="column">
                    <wp:posOffset>847725</wp:posOffset>
                  </wp:positionH>
                  <wp:positionV relativeFrom="paragraph">
                    <wp:posOffset>15240</wp:posOffset>
                  </wp:positionV>
                  <wp:extent cx="381000" cy="409575"/>
                  <wp:effectExtent l="19050" t="0" r="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C:\Users\24309\AppData\Local\Temp\WeChat Files\663e8446d72d036b049d64dde864356.png"/>
                          <pic:cNvPicPr>
                            <a:picLocks noChangeAspect="1" noChangeArrowheads="1"/>
                          </pic:cNvPicPr>
                        </pic:nvPicPr>
                        <pic:blipFill>
                          <a:blip r:embed="rId8" cstate="print"/>
                          <a:srcRect/>
                          <a:stretch>
                            <a:fillRect/>
                          </a:stretch>
                        </pic:blipFill>
                        <pic:spPr>
                          <a:xfrm>
                            <a:off x="0" y="0"/>
                            <a:ext cx="381000" cy="409575"/>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rPr>
              <w:t>2022年5月10日</w:t>
            </w:r>
          </w:p>
        </w:tc>
        <w:tc>
          <w:tcPr>
            <w:tcW w:w="5392" w:type="dxa"/>
            <w:gridSpan w:val="4"/>
          </w:tcPr>
          <w:p>
            <w:pPr>
              <w:spacing w:line="280" w:lineRule="exact"/>
              <w:rPr>
                <w:b/>
                <w:color w:val="000000"/>
                <w:szCs w:val="21"/>
              </w:rPr>
            </w:pPr>
            <w:r>
              <w:rPr>
                <w:rFonts w:hint="eastAsia"/>
                <w:b/>
                <w:color w:val="000000"/>
                <w:szCs w:val="21"/>
              </w:rPr>
              <w:t xml:space="preserve">受审核方代表： </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rPr>
              <w:t>2022年5月10日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ascii="宋体" w:hAnsi="宋体" w:cs="宋体"/>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b/>
                <w:color w:val="000000"/>
                <w:szCs w:val="21"/>
              </w:rPr>
              <w:drawing>
                <wp:anchor distT="0" distB="0" distL="114300" distR="114300" simplePos="0" relativeHeight="251663360" behindDoc="0" locked="0" layoutInCell="1" allowOverlap="1">
                  <wp:simplePos x="0" y="0"/>
                  <wp:positionH relativeFrom="column">
                    <wp:posOffset>714375</wp:posOffset>
                  </wp:positionH>
                  <wp:positionV relativeFrom="paragraph">
                    <wp:posOffset>43815</wp:posOffset>
                  </wp:positionV>
                  <wp:extent cx="381000" cy="409575"/>
                  <wp:effectExtent l="19050" t="0" r="0" b="0"/>
                  <wp:wrapNone/>
                  <wp:docPr id="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663e8446d72d036b049d64dde864356.png"/>
                          <pic:cNvPicPr>
                            <a:picLocks noChangeAspect="1" noChangeArrowheads="1"/>
                          </pic:cNvPicPr>
                        </pic:nvPicPr>
                        <pic:blipFill>
                          <a:blip r:embed="rId8" cstate="print"/>
                          <a:srcRect/>
                          <a:stretch>
                            <a:fillRect/>
                          </a:stretch>
                        </pic:blipFill>
                        <pic:spPr>
                          <a:xfrm>
                            <a:off x="0" y="0"/>
                            <a:ext cx="381000" cy="409575"/>
                          </a:xfrm>
                          <a:prstGeom prst="rect">
                            <a:avLst/>
                          </a:prstGeom>
                          <a:noFill/>
                          <a:ln w="9525">
                            <a:noFill/>
                            <a:miter lim="800000"/>
                            <a:headEnd/>
                            <a:tailEnd/>
                          </a:ln>
                        </pic:spPr>
                      </pic:pic>
                    </a:graphicData>
                  </a:graphic>
                </wp:anchor>
              </w:drawing>
            </w:r>
          </w:p>
          <w:p>
            <w:pPr>
              <w:spacing w:line="280" w:lineRule="exact"/>
              <w:rPr>
                <w:b/>
                <w:color w:val="000000"/>
                <w:szCs w:val="21"/>
              </w:rPr>
            </w:pPr>
            <w:r>
              <w:rPr>
                <w:rFonts w:hint="eastAsia"/>
                <w:b/>
                <w:color w:val="000000"/>
                <w:szCs w:val="21"/>
              </w:rPr>
              <w:t>验证人：          日期：</w:t>
            </w:r>
            <w:r>
              <w:rPr>
                <w:rFonts w:hint="eastAsia" w:ascii="宋体" w:hAnsi="宋体"/>
                <w:b/>
                <w:color w:val="000000"/>
                <w:szCs w:val="21"/>
              </w:rPr>
              <w:t>2022年5月12日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pStyle w:val="20"/>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文本框 1"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6560C9"/>
    <w:rsid w:val="00355708"/>
    <w:rsid w:val="0042029E"/>
    <w:rsid w:val="00424F13"/>
    <w:rsid w:val="005625C5"/>
    <w:rsid w:val="00627C4D"/>
    <w:rsid w:val="006560C9"/>
    <w:rsid w:val="0076306B"/>
    <w:rsid w:val="00AC0A96"/>
    <w:rsid w:val="00D72B6A"/>
    <w:rsid w:val="00F301DA"/>
    <w:rsid w:val="2CD507D7"/>
    <w:rsid w:val="51363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5743</Words>
  <Characters>6642</Characters>
  <Lines>54</Lines>
  <Paragraphs>15</Paragraphs>
  <TotalTime>0</TotalTime>
  <ScaleCrop>false</ScaleCrop>
  <LinksUpToDate>false</LinksUpToDate>
  <CharactersWithSpaces>6721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2022-05-14T05:00:05Z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ies>
</file>