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0407-2022-QEO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成都澳力鑫新型建材有限公司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成都澳力鑫新型建材有限公司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四川省成都市崇州市经济开发区世纪大道759号</w:t>
            </w:r>
            <w:bookmarkEnd w:id="6"/>
          </w:p>
        </w:tc>
        <w:tc>
          <w:tcPr>
            <w:tcW w:w="1242" w:type="dxa"/>
            <w:vMerge w:val="restart"/>
            <w:vAlign w:val="center"/>
          </w:tcPr>
          <w:p>
            <w:r>
              <w:rPr>
                <w:rFonts w:hint="eastAsia"/>
              </w:rPr>
              <w:t>邮编</w:t>
            </w:r>
          </w:p>
        </w:tc>
        <w:tc>
          <w:tcPr>
            <w:tcW w:w="1771" w:type="dxa"/>
          </w:tcPr>
          <w:p>
            <w:bookmarkStart w:id="7" w:name="注册邮编"/>
            <w:r>
              <w:t>611230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四川省成都市崇州市经济开发区世纪大道759号</w:t>
            </w:r>
            <w:bookmarkEnd w:id="8"/>
          </w:p>
        </w:tc>
        <w:tc>
          <w:tcPr>
            <w:tcW w:w="1242" w:type="dxa"/>
            <w:vMerge w:val="continue"/>
            <w:vAlign w:val="center"/>
          </w:tcPr>
          <w:p/>
        </w:tc>
        <w:tc>
          <w:tcPr>
            <w:tcW w:w="1771" w:type="dxa"/>
          </w:tcPr>
          <w:p>
            <w:bookmarkStart w:id="9" w:name="办公邮编"/>
            <w:r>
              <w:t>611230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方芊</w:t>
            </w:r>
            <w:bookmarkEnd w:id="10"/>
          </w:p>
        </w:tc>
        <w:tc>
          <w:tcPr>
            <w:tcW w:w="1313" w:type="dxa"/>
            <w:vAlign w:val="center"/>
          </w:tcPr>
          <w:p>
            <w:r>
              <w:rPr>
                <w:rFonts w:hint="eastAsia"/>
              </w:rPr>
              <w:t>电话.</w:t>
            </w:r>
          </w:p>
        </w:tc>
        <w:tc>
          <w:tcPr>
            <w:tcW w:w="2180" w:type="dxa"/>
            <w:vAlign w:val="center"/>
          </w:tcPr>
          <w:p>
            <w:bookmarkStart w:id="11" w:name="联系人电话"/>
            <w:r>
              <w:t>18123397686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吕攀</w:t>
            </w:r>
            <w:bookmarkEnd w:id="13"/>
          </w:p>
        </w:tc>
        <w:tc>
          <w:tcPr>
            <w:tcW w:w="1313" w:type="dxa"/>
            <w:vAlign w:val="center"/>
          </w:tcPr>
          <w:p>
            <w:r>
              <w:rPr>
                <w:rFonts w:hint="eastAsia"/>
              </w:rPr>
              <w:t>管理者代表</w:t>
            </w:r>
          </w:p>
        </w:tc>
        <w:tc>
          <w:tcPr>
            <w:tcW w:w="2180" w:type="dxa"/>
          </w:tcPr>
          <w:p>
            <w:bookmarkStart w:id="14" w:name="管理者代表"/>
            <w:r>
              <w:t>阳廷静</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eastAsia="宋体"/>
                <w:lang w:eastAsia="zh-CN"/>
              </w:rPr>
            </w:pPr>
            <w:r>
              <w:rPr>
                <w:rFonts w:hint="eastAsia"/>
                <w:lang w:eastAsia="zh-CN"/>
              </w:rPr>
              <w:t>配料——混合搅拌——抽样检验——包装、入库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2022年05月07日 上午至2022年05月08日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四川省成都市崇州市经济开发区世纪大道759号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Q：预拌砂浆的生产</w:t>
            </w:r>
          </w:p>
          <w:p>
            <w:r>
              <w:t>E：预拌砂浆的生产所涉及的相关环境管理活动</w:t>
            </w:r>
          </w:p>
          <w:p>
            <w:r>
              <w:t>O：预拌砂浆的生产所涉及的相关职业健康安全管理活动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Q：16.02.04</w:t>
            </w:r>
          </w:p>
          <w:p>
            <w:r>
              <w:t>E：16.02.04</w:t>
            </w:r>
          </w:p>
          <w:p>
            <w:r>
              <w:t>O：16.02.04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00"/>
        <w:gridCol w:w="177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700" w:type="dxa"/>
            <w:shd w:val="clear" w:color="auto" w:fill="F3F3F3"/>
            <w:tcMar>
              <w:left w:w="57" w:type="dxa"/>
              <w:right w:w="57" w:type="dxa"/>
            </w:tcMar>
          </w:tcPr>
          <w:p>
            <w:r>
              <w:rPr>
                <w:rFonts w:hint="eastAsia"/>
              </w:rPr>
              <w:t>审核范围（产品和过程）</w:t>
            </w:r>
          </w:p>
          <w:p/>
          <w:p/>
        </w:tc>
        <w:tc>
          <w:tcPr>
            <w:tcW w:w="1772"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成都澳力鑫新型建材有限公司</w:t>
            </w:r>
            <w:r>
              <w:rPr>
                <w:rFonts w:hint="eastAsia"/>
                <w:sz w:val="21"/>
                <w:szCs w:val="21"/>
                <w:lang w:val="en-US" w:eastAsia="zh-CN"/>
              </w:rPr>
              <w:t>/</w:t>
            </w:r>
            <w:r>
              <w:rPr>
                <w:sz w:val="21"/>
                <w:szCs w:val="21"/>
              </w:rPr>
              <w:t>四川省成都市崇州市经济开发区世纪大道759号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四川省成都市崇州市经济开发区世纪大道759号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50</w:t>
            </w:r>
          </w:p>
        </w:tc>
        <w:tc>
          <w:tcPr>
            <w:tcW w:w="1700" w:type="dxa"/>
            <w:vAlign w:val="center"/>
          </w:tcPr>
          <w:p>
            <w:pPr>
              <w:pStyle w:val="21"/>
              <w:rPr>
                <w:rFonts w:ascii="Times New Roman" w:hAnsi="Times New Roman" w:eastAsia="黑体" w:cs="Arial"/>
                <w:kern w:val="2"/>
                <w:sz w:val="21"/>
                <w:szCs w:val="21"/>
                <w:lang w:val="en-US" w:eastAsia="ja-JP" w:bidi="ar-SA"/>
              </w:rPr>
            </w:pPr>
            <w:r>
              <w:t>预拌砂浆的生产</w:t>
            </w:r>
          </w:p>
        </w:tc>
        <w:tc>
          <w:tcPr>
            <w:tcW w:w="1772" w:type="dxa"/>
            <w:vAlign w:val="center"/>
          </w:tcPr>
          <w:p>
            <w:pPr>
              <w:spacing w:before="40" w:after="40"/>
              <w:rPr>
                <w:rFonts w:hint="eastAsia" w:ascii="Times New Roman" w:hAnsi="Times New Roman" w:eastAsia="宋体" w:cs="Times New Roman"/>
                <w:kern w:val="2"/>
                <w:sz w:val="21"/>
                <w:szCs w:val="21"/>
                <w:lang w:val="en-US" w:eastAsia="ja-JP" w:bidi="ar-SA"/>
              </w:rPr>
            </w:pPr>
            <w:r>
              <w:rPr>
                <w:rFonts w:hint="eastAsia" w:ascii="Times New Roman" w:hAnsi="Times New Roman" w:eastAsia="Times New Roman" w:cs="Times New Roman"/>
                <w:kern w:val="2"/>
                <w:sz w:val="20"/>
                <w:szCs w:val="20"/>
                <w:lang w:val="en-GB" w:eastAsia="de-DE" w:bidi="ar-SA"/>
              </w:rPr>
              <w:t>GB/T19001-2016GB/T24001-2016GB/T45001-2020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00" w:type="dxa"/>
            <w:vAlign w:val="center"/>
          </w:tcPr>
          <w:p>
            <w:pPr>
              <w:rPr>
                <w:lang w:eastAsia="ja-JP"/>
              </w:rPr>
            </w:pPr>
          </w:p>
        </w:tc>
        <w:tc>
          <w:tcPr>
            <w:tcW w:w="177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00" w:type="dxa"/>
            <w:vAlign w:val="center"/>
          </w:tcPr>
          <w:p>
            <w:pPr>
              <w:rPr>
                <w:lang w:eastAsia="ja-JP"/>
              </w:rPr>
            </w:pPr>
          </w:p>
        </w:tc>
        <w:tc>
          <w:tcPr>
            <w:tcW w:w="177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00" w:type="dxa"/>
            <w:vAlign w:val="center"/>
          </w:tcPr>
          <w:p>
            <w:pPr>
              <w:rPr>
                <w:lang w:eastAsia="ja-JP"/>
              </w:rPr>
            </w:pPr>
          </w:p>
        </w:tc>
        <w:tc>
          <w:tcPr>
            <w:tcW w:w="177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00" w:type="dxa"/>
            <w:vAlign w:val="center"/>
          </w:tcPr>
          <w:p>
            <w:pPr>
              <w:rPr>
                <w:lang w:eastAsia="ja-JP"/>
              </w:rPr>
            </w:pPr>
          </w:p>
        </w:tc>
        <w:tc>
          <w:tcPr>
            <w:tcW w:w="1772"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Q:16.02.04</w:t>
            </w:r>
          </w:p>
          <w:p>
            <w:r>
              <w:t>E:16.02.04</w:t>
            </w:r>
          </w:p>
          <w:p>
            <w:r>
              <w:t>O:16.02.04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预拌砂浆的生产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预拌砂浆的生产所涉及的相关环境管理活动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预拌砂浆的生产所涉及的相关职业健康安全管理活动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4"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409575</wp:posOffset>
                  </wp:positionH>
                  <wp:positionV relativeFrom="paragraph">
                    <wp:posOffset>31750</wp:posOffset>
                  </wp:positionV>
                  <wp:extent cx="815340" cy="403860"/>
                  <wp:effectExtent l="0" t="0" r="3810" b="15240"/>
                  <wp:wrapNone/>
                  <wp:docPr id="53"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000000" w:themeColor="text1"/>
                <w:szCs w:val="21"/>
                <w:lang w:val="en-US" w:eastAsia="zh-CN"/>
              </w:rPr>
              <w:t>2022年5月8日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最高管理者制定了文件化的管理体系方针：诚实守信，客户至上；真诚合作，实现双赢</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生产</w:t>
            </w:r>
            <w:bookmarkStart w:id="34" w:name="_GoBack"/>
            <w:bookmarkEnd w:id="34"/>
            <w:r>
              <w:rPr>
                <w:rFonts w:hint="eastAsia"/>
                <w:lang w:eastAsia="zh-CN"/>
              </w:rPr>
              <w:t>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603"/>
              <w:gridCol w:w="1108"/>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60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08"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549"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cs="宋体"/>
                      <w:szCs w:val="21"/>
                      <w:lang w:eastAsia="zh-CN"/>
                    </w:rPr>
                    <w:t>顾客满意率≥95%</w:t>
                  </w:r>
                </w:p>
              </w:tc>
              <w:tc>
                <w:tcPr>
                  <w:tcW w:w="3603"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GB" w:eastAsia="zh-CN" w:bidi="ar-SA"/>
                    </w:rPr>
                  </w:pPr>
                  <w:r>
                    <w:rPr>
                      <w:rFonts w:hint="eastAsia" w:ascii="宋体" w:hAnsi="宋体"/>
                      <w:szCs w:val="21"/>
                      <w:lang w:eastAsia="zh-CN"/>
                    </w:rPr>
                    <w:t>顾客满意率</w:t>
                  </w:r>
                  <w:r>
                    <w:rPr>
                      <w:rFonts w:hint="eastAsia" w:ascii="宋体" w:hAnsi="宋体"/>
                      <w:szCs w:val="21"/>
                    </w:rPr>
                    <w:t>调查分数</w:t>
                  </w:r>
                </w:p>
              </w:tc>
              <w:tc>
                <w:tcPr>
                  <w:tcW w:w="1108"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市场部</w:t>
                  </w:r>
                </w:p>
              </w:tc>
              <w:tc>
                <w:tcPr>
                  <w:tcW w:w="1549"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color w:val="000000"/>
                      <w:szCs w:val="21"/>
                    </w:rPr>
                    <w:t>合同履约率100%</w:t>
                  </w:r>
                </w:p>
              </w:tc>
              <w:tc>
                <w:tcPr>
                  <w:tcW w:w="3603"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szCs w:val="21"/>
                    </w:rPr>
                    <w:t>合同履约数/合同总数*100%</w:t>
                  </w:r>
                </w:p>
              </w:tc>
              <w:tc>
                <w:tcPr>
                  <w:tcW w:w="1108"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市场部</w:t>
                  </w:r>
                </w:p>
              </w:tc>
              <w:tc>
                <w:tcPr>
                  <w:tcW w:w="1549"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color w:val="000000"/>
                      <w:szCs w:val="21"/>
                    </w:rPr>
                    <w:t>供方评定率100%</w:t>
                  </w:r>
                </w:p>
              </w:tc>
              <w:tc>
                <w:tcPr>
                  <w:tcW w:w="3603"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szCs w:val="21"/>
                      <w:lang w:eastAsia="zh-CN"/>
                    </w:rPr>
                    <w:t>供方评定数</w:t>
                  </w:r>
                  <w:r>
                    <w:rPr>
                      <w:rFonts w:hint="eastAsia" w:ascii="宋体" w:hAnsi="宋体"/>
                      <w:szCs w:val="21"/>
                      <w:lang w:val="en-US" w:eastAsia="zh-CN"/>
                    </w:rPr>
                    <w:t>/供方总数</w:t>
                  </w:r>
                  <w:r>
                    <w:rPr>
                      <w:rFonts w:hint="eastAsia" w:ascii="宋体" w:hAnsi="宋体"/>
                      <w:szCs w:val="21"/>
                    </w:rPr>
                    <w:t>*100%</w:t>
                  </w:r>
                </w:p>
              </w:tc>
              <w:tc>
                <w:tcPr>
                  <w:tcW w:w="1108"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市场部</w:t>
                  </w:r>
                </w:p>
              </w:tc>
              <w:tc>
                <w:tcPr>
                  <w:tcW w:w="1549"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szCs w:val="21"/>
                      <w:lang w:eastAsia="zh-CN"/>
                    </w:rPr>
                    <w:t>成品一次检验合格率</w:t>
                  </w:r>
                  <w:r>
                    <w:rPr>
                      <w:rFonts w:hint="eastAsia" w:ascii="宋体" w:hAnsi="宋体"/>
                      <w:szCs w:val="21"/>
                    </w:rPr>
                    <w:t>≥95%</w:t>
                  </w:r>
                </w:p>
              </w:tc>
              <w:tc>
                <w:tcPr>
                  <w:tcW w:w="3603"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szCs w:val="21"/>
                      <w:lang w:eastAsia="zh-CN"/>
                    </w:rPr>
                    <w:t>产品检验合格数/产品检验总次*100%</w:t>
                  </w:r>
                </w:p>
              </w:tc>
              <w:tc>
                <w:tcPr>
                  <w:tcW w:w="1108"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生产部</w:t>
                  </w:r>
                </w:p>
              </w:tc>
              <w:tc>
                <w:tcPr>
                  <w:tcW w:w="1549"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99.3%</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lang w:eastAsia="zh-CN"/>
              </w:rPr>
              <w:t>建筑面积12000平方米；生产车间1个；库房1个；实验室0个</w:t>
            </w:r>
            <w:r>
              <w:rPr>
                <w:rFonts w:hint="eastAsia"/>
                <w:highlight w:val="none"/>
              </w:rPr>
              <w:t>；</w:t>
            </w:r>
          </w:p>
          <w:p>
            <w:pPr>
              <w:shd w:val="clear" w:color="auto" w:fill="C7DAF1" w:themeFill="text2" w:themeFillTint="32"/>
              <w:rPr>
                <w:u w:val="single"/>
              </w:rPr>
            </w:pPr>
            <w:r>
              <w:rPr>
                <w:rFonts w:hint="eastAsia"/>
              </w:rPr>
              <w:t>主要生产设备有：</w:t>
            </w:r>
            <w:r>
              <w:rPr>
                <w:rFonts w:hint="eastAsia"/>
                <w:u w:val="single"/>
              </w:rPr>
              <w:t>（配料机、筒仓、皮带输送机、搅拌机、斗式提升机、带式输送机、分筛机等）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（电子汽车衡、电子秤、万能测试仪、电子台秤、电子天平、数显砂浆凝结时间测试仪等）</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334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shd w:val="clear" w:color="auto" w:fill="C7DAF1" w:themeFill="text2" w:themeFillTint="32"/>
                    <w:jc w:val="left"/>
                  </w:pPr>
                  <w:r>
                    <w:rPr>
                      <w:rFonts w:hint="eastAsia"/>
                    </w:rPr>
                    <w:t>产品/服务名称</w:t>
                  </w:r>
                </w:p>
              </w:tc>
              <w:tc>
                <w:tcPr>
                  <w:tcW w:w="3340"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shd w:val="clear" w:color="auto" w:fill="C7DAF1" w:themeFill="text2" w:themeFillTint="32"/>
                    <w:jc w:val="left"/>
                    <w:rPr>
                      <w:rFonts w:hint="eastAsia" w:eastAsia="宋体"/>
                      <w:lang w:eastAsia="zh-CN"/>
                    </w:rPr>
                  </w:pPr>
                  <w:r>
                    <w:rPr>
                      <w:rFonts w:hint="eastAsia"/>
                      <w:lang w:eastAsia="zh-CN"/>
                    </w:rPr>
                    <w:t>预拌砂浆的生产</w:t>
                  </w:r>
                </w:p>
              </w:tc>
              <w:tc>
                <w:tcPr>
                  <w:tcW w:w="3340" w:type="dxa"/>
                </w:tcPr>
                <w:p>
                  <w:pPr>
                    <w:shd w:val="clear" w:color="auto" w:fill="C7DAF1" w:themeFill="text2" w:themeFillTint="32"/>
                    <w:jc w:val="left"/>
                  </w:pPr>
                  <w:r>
                    <w:rPr>
                      <w:rFonts w:hint="eastAsia"/>
                    </w:rPr>
                    <w:t>配料、搅拌</w:t>
                  </w:r>
                </w:p>
              </w:tc>
              <w:tc>
                <w:tcPr>
                  <w:tcW w:w="3265" w:type="dxa"/>
                </w:tcPr>
                <w:p>
                  <w:pPr>
                    <w:shd w:val="clear" w:color="auto" w:fill="C7DAF1" w:themeFill="text2" w:themeFillTint="32"/>
                    <w:jc w:val="left"/>
                  </w:pPr>
                  <w:r>
                    <w:rPr>
                      <w:rFonts w:hint="eastAsia"/>
                    </w:rPr>
                    <w:t>粒径、表观密度、含气量、抗压强度、稠度损失率等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shd w:val="clear" w:color="auto" w:fill="C7DAF1" w:themeFill="text2" w:themeFillTint="32"/>
                    <w:jc w:val="left"/>
                  </w:pPr>
                </w:p>
              </w:tc>
              <w:tc>
                <w:tcPr>
                  <w:tcW w:w="3340"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shd w:val="clear" w:color="auto" w:fill="C7DAF1" w:themeFill="text2" w:themeFillTint="32"/>
                    <w:jc w:val="left"/>
                  </w:pPr>
                </w:p>
              </w:tc>
              <w:tc>
                <w:tcPr>
                  <w:tcW w:w="3340"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无</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eastAsia="zh-CN"/>
              </w:rPr>
              <w:t>报告编号：</w:t>
            </w:r>
            <w:r>
              <w:rPr>
                <w:rFonts w:hint="eastAsia"/>
              </w:rPr>
              <w:t>AJCA222W00166 报告日期：2022-3-16。</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12</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17</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3</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w:t>
                  </w:r>
                </w:p>
                <w:p>
                  <w:pPr>
                    <w:shd w:val="clear" w:color="auto" w:fill="EBF1DE" w:themeFill="accent3" w:themeFillTint="32"/>
                  </w:pPr>
                  <w:r>
                    <w:rPr>
                      <w:rFonts w:hint="eastAsia"/>
                    </w:rPr>
                    <w:t>□政治</w:t>
                  </w:r>
                  <w:r>
                    <w:rPr>
                      <w:rFonts w:hint="eastAsia"/>
                      <w:lang w:eastAsia="zh-CN"/>
                    </w:rPr>
                    <w:t>■</w:t>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val="en-US" w:eastAsia="zh-CN"/>
              </w:rPr>
              <w:t xml:space="preserve"> </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lang w:eastAsia="zh-CN"/>
              </w:rPr>
              <w:t>■</w:t>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w:t>
            </w:r>
            <w:r>
              <w:rPr>
                <w:rFonts w:hint="eastAsia"/>
                <w:lang w:eastAsia="zh-CN"/>
              </w:rPr>
              <w:t>□</w:t>
            </w:r>
            <w:r>
              <w:rPr>
                <w:rFonts w:hint="eastAsia"/>
              </w:rPr>
              <w:t>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最高管理者制定了文件化的管理体系方针：遵规守法，预防污染；高效低耗，环保作业</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44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shd w:val="clear" w:color="auto" w:fill="EBF1DE" w:themeFill="accent3" w:themeFillTint="32"/>
                  </w:pPr>
                  <w:r>
                    <w:rPr>
                      <w:rFonts w:hint="eastAsia"/>
                    </w:rPr>
                    <w:t>主要的风险或机遇描述</w:t>
                  </w:r>
                </w:p>
              </w:tc>
              <w:tc>
                <w:tcPr>
                  <w:tcW w:w="4426"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潜在火灾</w:t>
                  </w:r>
                </w:p>
              </w:tc>
              <w:tc>
                <w:tcPr>
                  <w:tcW w:w="4426"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center"/>
                </w:tcPr>
                <w:p>
                  <w:pPr>
                    <w:shd w:val="clear" w:color="auto" w:fill="EBF1DE" w:themeFill="accent3" w:themeFillTint="32"/>
                    <w:rPr>
                      <w:rFonts w:hint="default"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固废排放</w:t>
                  </w:r>
                </w:p>
              </w:tc>
              <w:tc>
                <w:tcPr>
                  <w:tcW w:w="4426"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lang w:val="en-US" w:eastAsia="zh-CN"/>
                    </w:rPr>
                    <w:t>废水排放</w:t>
                  </w:r>
                </w:p>
              </w:tc>
              <w:tc>
                <w:tcPr>
                  <w:tcW w:w="4426"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shd w:val="clear" w:color="auto" w:fill="EBF1DE" w:themeFill="accent3" w:themeFillTint="32"/>
                    <w:rPr>
                      <w:rFonts w:hint="eastAsia" w:eastAsia="宋体"/>
                      <w:lang w:eastAsia="zh-CN"/>
                    </w:rPr>
                  </w:pPr>
                  <w:r>
                    <w:rPr>
                      <w:rFonts w:hint="eastAsia"/>
                      <w:lang w:eastAsia="zh-CN"/>
                    </w:rPr>
                    <w:t>废气排放</w:t>
                  </w:r>
                </w:p>
              </w:tc>
              <w:tc>
                <w:tcPr>
                  <w:tcW w:w="4426"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shd w:val="clear" w:color="auto" w:fill="EBF1DE" w:themeFill="accent3" w:themeFillTint="32"/>
                    <w:rPr>
                      <w:rFonts w:hint="eastAsia"/>
                      <w:lang w:eastAsia="zh-CN"/>
                    </w:rPr>
                  </w:pPr>
                  <w:r>
                    <w:rPr>
                      <w:rFonts w:hint="eastAsia"/>
                      <w:lang w:eastAsia="zh-CN"/>
                    </w:rPr>
                    <w:t>噪声排放</w:t>
                  </w:r>
                </w:p>
              </w:tc>
              <w:tc>
                <w:tcPr>
                  <w:tcW w:w="4426"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rPr>
              <w:t>□能源消耗□资源消耗</w:t>
            </w:r>
            <w:r>
              <w:rPr>
                <w:rFonts w:hint="eastAsia"/>
                <w:lang w:eastAsia="zh-CN"/>
              </w:rPr>
              <w:t>■</w:t>
            </w:r>
            <w:r>
              <w:rPr>
                <w:rFonts w:hint="eastAsia"/>
              </w:rPr>
              <w:t>废水排放</w:t>
            </w:r>
            <w:r>
              <w:rPr>
                <w:rFonts w:hint="eastAsia"/>
                <w:lang w:eastAsia="zh-CN"/>
              </w:rPr>
              <w:t>■</w:t>
            </w:r>
            <w:r>
              <w:rPr>
                <w:rFonts w:hint="eastAsia"/>
              </w:rPr>
              <w:t>废气排放□粉尘排放□危废排放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r>
              <w:rPr>
                <w:rFonts w:hint="eastAsia"/>
                <w:lang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lang w:eastAsia="zh-CN"/>
              </w:rPr>
              <w:t>■</w:t>
            </w:r>
            <w:r>
              <w:rPr>
                <w:rFonts w:hint="eastAsia"/>
              </w:rPr>
              <w:t>环境影响报告表日期：2015年10月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设备降噪□危废合法处置□使用节能设备□危化品控制</w:t>
            </w:r>
          </w:p>
          <w:p>
            <w:pPr>
              <w:shd w:val="clear" w:color="auto" w:fill="EBF1DE" w:themeFill="accent3" w:themeFillTint="32"/>
              <w:rPr>
                <w:highlight w:val="cyan"/>
              </w:rPr>
            </w:pPr>
            <w:r>
              <w:rPr>
                <w:rFonts w:hint="eastAsia"/>
                <w:lang w:eastAsia="zh-CN"/>
              </w:rPr>
              <w:t>■</w:t>
            </w: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eastAsia="宋体" w:cs="Times New Roman"/>
                      <w:szCs w:val="21"/>
                      <w:lang w:eastAsia="zh-CN"/>
                    </w:rPr>
                    <w:t>固废分类收集，合规处置率100%</w:t>
                  </w:r>
                </w:p>
              </w:tc>
              <w:tc>
                <w:tcPr>
                  <w:tcW w:w="3136" w:type="dxa"/>
                  <w:shd w:val="clear" w:color="auto" w:fill="auto"/>
                  <w:vAlign w:val="top"/>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行政部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eastAsia="宋体" w:cs="Times New Roman"/>
                      <w:szCs w:val="21"/>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eastAsia="宋体" w:cs="Times New Roman"/>
                      <w:szCs w:val="21"/>
                      <w:lang w:eastAsia="zh-CN"/>
                    </w:rPr>
                    <w:t>全年火灾事故发生率为</w:t>
                  </w:r>
                  <w:r>
                    <w:rPr>
                      <w:rFonts w:hint="eastAsia" w:ascii="宋体" w:hAnsi="宋体" w:eastAsia="宋体" w:cs="Times New Roman"/>
                      <w:szCs w:val="21"/>
                      <w:lang w:val="en-US" w:eastAsia="zh-CN"/>
                    </w:rPr>
                    <w:t>0</w:t>
                  </w:r>
                </w:p>
              </w:tc>
              <w:tc>
                <w:tcPr>
                  <w:tcW w:w="3136" w:type="dxa"/>
                  <w:shd w:val="clear" w:color="auto" w:fill="auto"/>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eastAsia="zh-CN"/>
                    </w:rPr>
                  </w:pPr>
                  <w:r>
                    <w:rPr>
                      <w:rFonts w:hint="eastAsia" w:ascii="宋体" w:hAnsi="宋体"/>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highlight w:val="none"/>
              </w:rPr>
            </w:pPr>
            <w:r>
              <w:rPr>
                <w:rFonts w:hint="eastAsia"/>
                <w:highlight w:val="none"/>
                <w:lang w:eastAsia="zh-CN"/>
              </w:rPr>
              <w:t>建筑面积12000平方米；生产车间1个；库房1个；实验室0个</w:t>
            </w:r>
            <w:r>
              <w:rPr>
                <w:rFonts w:hint="eastAsia"/>
                <w:highlight w:val="none"/>
              </w:rPr>
              <w:t>；</w:t>
            </w:r>
          </w:p>
          <w:p>
            <w:pPr>
              <w:shd w:val="clear" w:color="auto" w:fill="EBF1DE" w:themeFill="accent3" w:themeFillTint="32"/>
              <w:rPr>
                <w:u w:val="single"/>
              </w:rPr>
            </w:pPr>
            <w:r>
              <w:rPr>
                <w:rFonts w:hint="eastAsia"/>
              </w:rPr>
              <w:t>主要生产设备有：</w:t>
            </w:r>
            <w:r>
              <w:rPr>
                <w:rFonts w:hint="eastAsia"/>
                <w:u w:val="single"/>
              </w:rPr>
              <w:t>（配料机、筒仓、皮带输送机、搅拌机、斗式提升机、带式输送机、分筛机等）</w:t>
            </w:r>
          </w:p>
          <w:p>
            <w:pPr>
              <w:shd w:val="clear" w:color="auto" w:fill="EBF1DE" w:themeFill="accent3" w:themeFillTint="32"/>
              <w:rPr>
                <w:u w:val="single"/>
              </w:rPr>
            </w:pPr>
            <w:r>
              <w:rPr>
                <w:rFonts w:hint="eastAsia"/>
              </w:rPr>
              <w:t>主要环保设备有：</w:t>
            </w:r>
            <w:r>
              <w:rPr>
                <w:rFonts w:hint="eastAsia"/>
                <w:u w:val="single"/>
              </w:rPr>
              <w:t>（脉冲收尘器）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60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4605" w:type="dxa"/>
                </w:tcPr>
                <w:p>
                  <w:pPr>
                    <w:shd w:val="clear" w:color="auto" w:fill="EBF1DE" w:themeFill="accent3" w:themeFillTint="32"/>
                    <w:jc w:val="left"/>
                  </w:pPr>
                  <w:r>
                    <w:rPr>
                      <w:rFonts w:hint="eastAsia"/>
                    </w:rPr>
                    <w:t>控制措施</w:t>
                  </w:r>
                </w:p>
              </w:tc>
              <w:tc>
                <w:tcPr>
                  <w:tcW w:w="232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4605" w:type="dxa"/>
                </w:tcPr>
                <w:p>
                  <w:pPr>
                    <w:shd w:val="clear" w:color="auto" w:fill="EBF1DE" w:themeFill="accent3" w:themeFillTint="32"/>
                    <w:jc w:val="left"/>
                  </w:pPr>
                </w:p>
              </w:tc>
              <w:tc>
                <w:tcPr>
                  <w:tcW w:w="232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资源消耗</w:t>
                  </w:r>
                </w:p>
              </w:tc>
              <w:tc>
                <w:tcPr>
                  <w:tcW w:w="4605" w:type="dxa"/>
                </w:tcPr>
                <w:p>
                  <w:pPr>
                    <w:shd w:val="clear" w:color="auto" w:fill="EBF1DE" w:themeFill="accent3" w:themeFillTint="32"/>
                    <w:jc w:val="left"/>
                  </w:pPr>
                </w:p>
              </w:tc>
              <w:tc>
                <w:tcPr>
                  <w:tcW w:w="232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4605" w:type="dxa"/>
                </w:tcPr>
                <w:p>
                  <w:pPr>
                    <w:shd w:val="clear" w:color="auto" w:fill="EBF1DE" w:themeFill="accent3" w:themeFillTint="32"/>
                    <w:jc w:val="left"/>
                  </w:pPr>
                  <w:r>
                    <w:rPr>
                      <w:rFonts w:hint="eastAsia" w:ascii="Times New Roman" w:hAnsi="Times New Roman" w:eastAsia="宋体" w:cs="Times New Roman"/>
                    </w:rPr>
                    <w:t>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325" w:type="dxa"/>
                </w:tcPr>
                <w:p>
                  <w:pPr>
                    <w:shd w:val="clear" w:color="auto" w:fill="EBF1DE" w:themeFill="accent3" w:themeFillTint="32"/>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4605" w:type="dxa"/>
                </w:tcPr>
                <w:p>
                  <w:pPr>
                    <w:shd w:val="clear" w:color="auto" w:fill="EBF1DE" w:themeFill="accent3" w:themeFillTint="32"/>
                    <w:jc w:val="left"/>
                  </w:pPr>
                  <w:r>
                    <w:rPr>
                      <w:rFonts w:hint="eastAsia" w:ascii="Times New Roman" w:hAnsi="Times New Roman" w:eastAsia="宋体" w:cs="Times New Roman"/>
                    </w:rPr>
                    <w:t>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325" w:type="dxa"/>
                </w:tcPr>
                <w:p>
                  <w:pPr>
                    <w:shd w:val="clear" w:color="auto" w:fill="EBF1DE" w:themeFill="accent3" w:themeFillTint="32"/>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4605" w:type="dxa"/>
                </w:tcPr>
                <w:p>
                  <w:pPr>
                    <w:shd w:val="clear" w:color="auto" w:fill="EBF1DE" w:themeFill="accent3" w:themeFillTint="32"/>
                    <w:jc w:val="left"/>
                  </w:pPr>
                  <w:r>
                    <w:rPr>
                      <w:rFonts w:hint="eastAsia" w:ascii="Times New Roman" w:hAnsi="Times New Roman" w:eastAsia="宋体" w:cs="Times New Roman"/>
                    </w:rPr>
                    <w:t>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325" w:type="dxa"/>
                </w:tcPr>
                <w:p>
                  <w:pPr>
                    <w:shd w:val="clear" w:color="auto" w:fill="EBF1DE" w:themeFill="accent3" w:themeFillTint="32"/>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固废排放</w:t>
                  </w:r>
                </w:p>
              </w:tc>
              <w:tc>
                <w:tcPr>
                  <w:tcW w:w="4605" w:type="dxa"/>
                </w:tcPr>
                <w:p>
                  <w:pPr>
                    <w:shd w:val="clear" w:color="auto" w:fill="EBF1DE" w:themeFill="accent3" w:themeFillTint="32"/>
                    <w:jc w:val="left"/>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325" w:type="dxa"/>
                </w:tcPr>
                <w:p>
                  <w:pPr>
                    <w:shd w:val="clear" w:color="auto" w:fill="EBF1DE" w:themeFill="accent3" w:themeFillTint="32"/>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粉尘排放</w:t>
                  </w:r>
                </w:p>
              </w:tc>
              <w:tc>
                <w:tcPr>
                  <w:tcW w:w="4605" w:type="dxa"/>
                </w:tcPr>
                <w:p>
                  <w:pPr>
                    <w:shd w:val="clear" w:color="auto" w:fill="EBF1DE" w:themeFill="accent3" w:themeFillTint="32"/>
                    <w:jc w:val="left"/>
                  </w:pPr>
                </w:p>
              </w:tc>
              <w:tc>
                <w:tcPr>
                  <w:tcW w:w="232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火灾</w:t>
                  </w:r>
                </w:p>
              </w:tc>
              <w:tc>
                <w:tcPr>
                  <w:tcW w:w="460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232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4605" w:type="dxa"/>
                </w:tcPr>
                <w:p>
                  <w:pPr>
                    <w:shd w:val="clear" w:color="auto" w:fill="EBF1DE" w:themeFill="accent3" w:themeFillTint="32"/>
                    <w:jc w:val="left"/>
                  </w:pPr>
                </w:p>
              </w:tc>
              <w:tc>
                <w:tcPr>
                  <w:tcW w:w="232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lang w:eastAsia="zh-CN"/>
              </w:rPr>
              <w:t>叉车首检报告，编号：</w:t>
            </w:r>
            <w:r>
              <w:rPr>
                <w:rFonts w:hint="eastAsia"/>
                <w:lang w:val="en-US" w:eastAsia="zh-CN"/>
              </w:rPr>
              <w:t>NCD-202106268-5</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26</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24</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color w:val="000000"/>
                <w:szCs w:val="18"/>
              </w:rPr>
              <w:t>通检字（2021）第W052801-1号</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12</w:t>
            </w:r>
            <w:r>
              <w:rPr>
                <w:rFonts w:hint="eastAsia"/>
              </w:rPr>
              <w:t>日实施了环境管理体系内部审核，对环境管理体系的符合性和有效性进行了审核。内审发现</w:t>
            </w:r>
            <w:r>
              <w:rPr>
                <w:rFonts w:hint="eastAsia"/>
                <w:highlight w:val="none"/>
              </w:rPr>
              <w:t>的</w:t>
            </w:r>
            <w:r>
              <w:rPr>
                <w:rFonts w:hint="eastAsia"/>
                <w:highlight w:val="none"/>
                <w:lang w:val="en-US" w:eastAsia="zh-CN"/>
              </w:rPr>
              <w:t>1</w:t>
            </w:r>
            <w:r>
              <w:rPr>
                <w:rFonts w:hint="eastAsia"/>
                <w:highlight w:val="none"/>
              </w:rPr>
              <w:t>项</w:t>
            </w:r>
            <w:r>
              <w:rPr>
                <w:rFonts w:hint="eastAsia"/>
              </w:rPr>
              <w:t>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17</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OHSM</w:t>
            </w:r>
            <w:r>
              <w:rPr>
                <w:rFonts w:hint="eastAsia"/>
              </w:rPr>
              <w:t>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认知□价值观</w:t>
                  </w:r>
                  <w:r>
                    <w:rPr>
                      <w:rFonts w:hint="eastAsia"/>
                      <w:lang w:eastAsia="zh-CN"/>
                    </w:rPr>
                    <w:t>■</w:t>
                  </w:r>
                  <w:r>
                    <w:rPr>
                      <w:rFonts w:hint="eastAsia"/>
                    </w:rPr>
                    <w:t>文化□知识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最高管理者制定了文件化的职业健康安全管理体系方针：安全第一，预防为主；健康向上，共建和谐</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方芊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446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r>
                    <w:rPr>
                      <w:rFonts w:hint="eastAsia"/>
                    </w:rPr>
                    <w:t>主要的风险或机遇描述</w:t>
                  </w:r>
                </w:p>
              </w:tc>
              <w:tc>
                <w:tcPr>
                  <w:tcW w:w="4467"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8"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火灾</w:t>
                  </w:r>
                </w:p>
              </w:tc>
              <w:tc>
                <w:tcPr>
                  <w:tcW w:w="4467"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触电</w:t>
                  </w:r>
                </w:p>
              </w:tc>
              <w:tc>
                <w:tcPr>
                  <w:tcW w:w="4467"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pPr>
                    <w:rPr>
                      <w:rFonts w:hint="eastAsia" w:eastAsia="宋体"/>
                      <w:lang w:eastAsia="zh-CN"/>
                    </w:rPr>
                  </w:pPr>
                  <w:r>
                    <w:rPr>
                      <w:rFonts w:hint="eastAsia"/>
                      <w:lang w:eastAsia="zh-CN"/>
                    </w:rPr>
                    <w:t>职业病</w:t>
                  </w:r>
                </w:p>
              </w:tc>
              <w:tc>
                <w:tcPr>
                  <w:tcW w:w="4467" w:type="dxa"/>
                </w:tcPr>
                <w:p>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p>
              </w:tc>
              <w:tc>
                <w:tcPr>
                  <w:tcW w:w="1717" w:type="dxa"/>
                </w:tcPr>
                <w:p>
                  <w:pPr>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8" w:type="dxa"/>
                </w:tcPr>
                <w:p>
                  <w:pPr>
                    <w:rPr>
                      <w:rFonts w:hint="eastAsia" w:eastAsia="宋体"/>
                      <w:lang w:eastAsia="zh-CN"/>
                    </w:rPr>
                  </w:pPr>
                  <w:r>
                    <w:rPr>
                      <w:rFonts w:hint="eastAsia"/>
                      <w:lang w:eastAsia="zh-CN"/>
                    </w:rPr>
                    <w:t>意外伤害（机械伤害、中暑、车辆伤害等）</w:t>
                  </w:r>
                </w:p>
              </w:tc>
              <w:tc>
                <w:tcPr>
                  <w:tcW w:w="4467"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r>
              <w:rPr>
                <w:rFonts w:hint="eastAsia"/>
                <w:lang w:eastAsia="zh-CN"/>
              </w:rPr>
              <w:t>：中暑、车辆伤害、职业病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lang w:eastAsia="zh-CN"/>
              </w:rPr>
              <w:t>■</w:t>
            </w:r>
            <w:r>
              <w:rPr>
                <w:rFonts w:hint="eastAsia"/>
              </w:rPr>
              <w:t>职业病体检报告书日期：</w:t>
            </w:r>
            <w:r>
              <w:rPr>
                <w:rFonts w:hint="eastAsia"/>
                <w:lang w:val="en-US" w:eastAsia="zh-CN"/>
              </w:rPr>
              <w:t>2022.1.10</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ascii="宋体" w:hAnsi="宋体" w:eastAsia="宋体" w:cs="Times New Roman"/>
                      <w:szCs w:val="21"/>
                      <w:lang w:eastAsia="zh-CN"/>
                    </w:rPr>
                    <w:t>重大安全事故的发生为</w:t>
                  </w:r>
                  <w:r>
                    <w:rPr>
                      <w:rFonts w:hint="eastAsia" w:ascii="宋体" w:hAnsi="宋体" w:eastAsia="宋体" w:cs="Times New Roman"/>
                      <w:szCs w:val="21"/>
                      <w:lang w:val="en-US" w:eastAsia="zh-CN"/>
                    </w:rPr>
                    <w:t>0</w:t>
                  </w:r>
                </w:p>
              </w:tc>
              <w:tc>
                <w:tcPr>
                  <w:tcW w:w="3136" w:type="dxa"/>
                  <w:shd w:val="clear" w:color="auto" w:fill="auto"/>
                  <w:vAlign w:val="top"/>
                </w:tcPr>
                <w:p>
                  <w:pPr>
                    <w:rPr>
                      <w:rFonts w:ascii="Times New Roman" w:hAnsi="Times New Roman" w:eastAsia="宋体" w:cs="Times New Roman"/>
                      <w:kern w:val="2"/>
                      <w:sz w:val="21"/>
                      <w:szCs w:val="24"/>
                      <w:highlight w:val="none"/>
                      <w:lang w:val="en-GB"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eastAsia" w:eastAsia="宋体"/>
                      <w:lang w:val="en-GB" w:eastAsia="zh-CN"/>
                    </w:rPr>
                  </w:pPr>
                  <w:r>
                    <w:rPr>
                      <w:rFonts w:hint="eastAsia"/>
                      <w:lang w:val="en-GB" w:eastAsia="zh-CN"/>
                    </w:rPr>
                    <w:t>生产部</w:t>
                  </w:r>
                </w:p>
              </w:tc>
              <w:tc>
                <w:tcPr>
                  <w:tcW w:w="1774" w:type="dxa"/>
                  <w:shd w:val="clear" w:color="auto" w:fill="auto"/>
                  <w:vAlign w:val="center"/>
                </w:tcPr>
                <w:p>
                  <w:pPr>
                    <w:jc w:val="center"/>
                    <w:rPr>
                      <w:rFonts w:hint="eastAsia" w:ascii="宋体" w:hAnsi="宋体" w:eastAsia="宋体"/>
                      <w:lang w:val="en-GB" w:eastAsia="zh-CN"/>
                    </w:rPr>
                  </w:pPr>
                  <w:r>
                    <w:rPr>
                      <w:rFonts w:hint="eastAsia" w:ascii="宋体" w:hAnsi="宋体"/>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ascii="宋体" w:hAnsi="宋体" w:eastAsia="宋体" w:cs="Times New Roman"/>
                      <w:szCs w:val="21"/>
                      <w:lang w:eastAsia="zh-CN"/>
                    </w:rPr>
                    <w:t>全年触电伤害事故发生率为</w:t>
                  </w:r>
                  <w:r>
                    <w:rPr>
                      <w:rFonts w:hint="eastAsia" w:ascii="宋体" w:hAnsi="宋体" w:eastAsia="宋体" w:cs="Times New Roman"/>
                      <w:szCs w:val="21"/>
                      <w:lang w:val="en-US" w:eastAsia="zh-CN"/>
                    </w:rPr>
                    <w:t>0</w:t>
                  </w:r>
                </w:p>
              </w:tc>
              <w:tc>
                <w:tcPr>
                  <w:tcW w:w="3136" w:type="dxa"/>
                  <w:shd w:val="clear" w:color="auto" w:fill="auto"/>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eastAsia" w:ascii="宋体" w:hAnsi="宋体" w:eastAsia="宋体"/>
                      <w:lang w:eastAsia="zh-CN"/>
                    </w:rPr>
                  </w:pPr>
                  <w:r>
                    <w:rPr>
                      <w:rFonts w:hint="eastAsia" w:ascii="宋体" w:hAnsi="宋体"/>
                      <w:lang w:eastAsia="zh-CN"/>
                    </w:rPr>
                    <w:t>生产部</w:t>
                  </w:r>
                </w:p>
              </w:tc>
              <w:tc>
                <w:tcPr>
                  <w:tcW w:w="1774" w:type="dxa"/>
                  <w:shd w:val="clear" w:color="auto" w:fill="auto"/>
                  <w:vAlign w:val="center"/>
                </w:tcPr>
                <w:p>
                  <w:pPr>
                    <w:jc w:val="center"/>
                    <w:rPr>
                      <w:rFonts w:ascii="宋体" w:hAnsi="宋体"/>
                    </w:rPr>
                  </w:pPr>
                  <w:r>
                    <w:rPr>
                      <w:rFonts w:hint="eastAsia" w:ascii="宋体" w:hAnsi="宋体"/>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宋体" w:hAnsi="宋体" w:eastAsia="宋体" w:cs="Times New Roman"/>
                      <w:kern w:val="2"/>
                      <w:sz w:val="21"/>
                      <w:szCs w:val="21"/>
                      <w:lang w:val="en-US" w:eastAsia="zh-CN" w:bidi="ar-SA"/>
                    </w:rPr>
                  </w:pPr>
                  <w:r>
                    <w:rPr>
                      <w:rFonts w:hint="eastAsia" w:ascii="宋体" w:hAnsi="宋体" w:eastAsia="宋体" w:cs="Times New Roman"/>
                      <w:szCs w:val="21"/>
                      <w:lang w:eastAsia="zh-CN"/>
                    </w:rPr>
                    <w:t>全年火灾事故发生率为</w:t>
                  </w:r>
                  <w:r>
                    <w:rPr>
                      <w:rFonts w:hint="eastAsia" w:ascii="宋体" w:hAnsi="宋体" w:eastAsia="宋体" w:cs="Times New Roman"/>
                      <w:szCs w:val="21"/>
                      <w:lang w:val="en-US" w:eastAsia="zh-CN"/>
                    </w:rPr>
                    <w:t>0</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eastAsia" w:ascii="宋体" w:hAnsi="宋体" w:eastAsia="宋体"/>
                      <w:lang w:eastAsia="zh-CN"/>
                    </w:rPr>
                  </w:pPr>
                  <w:r>
                    <w:rPr>
                      <w:rFonts w:hint="eastAsia" w:ascii="宋体" w:hAnsi="宋体"/>
                      <w:lang w:eastAsia="zh-CN"/>
                    </w:rPr>
                    <w:t>生产部</w:t>
                  </w:r>
                </w:p>
              </w:tc>
              <w:tc>
                <w:tcPr>
                  <w:tcW w:w="1774" w:type="dxa"/>
                  <w:shd w:val="clear" w:color="auto" w:fill="auto"/>
                  <w:vAlign w:val="center"/>
                </w:tcPr>
                <w:p>
                  <w:pPr>
                    <w:jc w:val="center"/>
                    <w:rPr>
                      <w:rFonts w:ascii="宋体" w:hAnsi="宋体"/>
                    </w:rPr>
                  </w:pPr>
                  <w:r>
                    <w:rPr>
                      <w:rFonts w:hint="eastAsia" w:ascii="宋体" w:hAnsi="宋体"/>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highlight w:val="none"/>
              </w:rPr>
            </w:pPr>
            <w:r>
              <w:rPr>
                <w:rFonts w:hint="eastAsia"/>
                <w:highlight w:val="none"/>
                <w:lang w:eastAsia="zh-CN"/>
              </w:rPr>
              <w:t>建筑面积12000平方米；生产车间1个；库房1个；实验室0个</w:t>
            </w:r>
            <w:r>
              <w:rPr>
                <w:rFonts w:hint="eastAsia"/>
                <w:highlight w:val="none"/>
              </w:rPr>
              <w:t>；</w:t>
            </w:r>
          </w:p>
          <w:p>
            <w:pPr>
              <w:rPr>
                <w:u w:val="single"/>
              </w:rPr>
            </w:pPr>
            <w:r>
              <w:rPr>
                <w:rFonts w:hint="eastAsia"/>
              </w:rPr>
              <w:t>主要生产设备有：</w:t>
            </w:r>
            <w:r>
              <w:rPr>
                <w:rFonts w:hint="eastAsia"/>
                <w:u w:val="single"/>
              </w:rPr>
              <w:t>（配料机、筒仓、皮带输送机、搅拌机、斗式提升机、带式输送机、分筛机等）</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lang w:eastAsia="zh-CN"/>
                    </w:rPr>
                    <w:t>■</w:t>
                  </w:r>
                  <w:r>
                    <w:rPr>
                      <w:rFonts w:hint="eastAsia"/>
                    </w:rPr>
                    <w:t>穿戴劳保用品（防尘面罩）</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lang w:eastAsia="zh-CN"/>
                    </w:rPr>
                    <w:t>■</w:t>
                  </w:r>
                  <w:r>
                    <w:rPr>
                      <w:rFonts w:hint="eastAsia"/>
                    </w:rPr>
                    <w:t>穿戴劳保用品</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压力容器爆炸</w:t>
                  </w:r>
                </w:p>
              </w:tc>
              <w:tc>
                <w:tcPr>
                  <w:tcW w:w="4725" w:type="dxa"/>
                </w:tcPr>
                <w:p>
                  <w:pPr>
                    <w:jc w:val="left"/>
                  </w:pPr>
                  <w:r>
                    <w:rPr>
                      <w:rFonts w:hint="eastAsia"/>
                      <w:lang w:eastAsia="zh-CN"/>
                    </w:rPr>
                    <w:t>■</w:t>
                  </w:r>
                  <w:r>
                    <w:rPr>
                      <w:rFonts w:hint="eastAsia"/>
                    </w:rPr>
                    <w:t>定期检测□压力巡视</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vAlign w:val="top"/>
                </w:tcPr>
                <w:p>
                  <w:pPr>
                    <w:jc w:val="left"/>
                    <w:rPr>
                      <w:rFonts w:ascii="Times New Roman" w:hAnsi="Times New Roman" w:eastAsia="宋体" w:cs="Times New Roman"/>
                      <w:kern w:val="2"/>
                      <w:sz w:val="21"/>
                      <w:szCs w:val="24"/>
                      <w:lang w:val="en-US" w:eastAsia="zh-CN" w:bidi="ar-SA"/>
                    </w:rPr>
                  </w:pPr>
                  <w:r>
                    <w:rPr>
                      <w:rFonts w:hint="eastAsia"/>
                    </w:rPr>
                    <w:t>制定管理方案，应急预案并演练</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lang w:eastAsia="zh-CN"/>
              </w:rPr>
              <w:t>叉车首检报告，编号：</w:t>
            </w:r>
            <w:r>
              <w:rPr>
                <w:rFonts w:hint="eastAsia"/>
                <w:lang w:val="en-US" w:eastAsia="zh-CN"/>
              </w:rPr>
              <w:t>NCD-202106268-5</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26</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24</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《作业场所有害物质监测报告》编号：华锦珩（职）检（2021）0644号。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《职业病体检》编号：崇二院职体检（2022）3号。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12</w:t>
            </w:r>
            <w:r>
              <w:rPr>
                <w:rFonts w:hint="eastAsia"/>
              </w:rPr>
              <w:t>日实施了职业健康安全管理体系内部审核，对职业健康安全管理体系的符合性和有效性进行了审核。内审发现</w:t>
            </w:r>
            <w:r>
              <w:rPr>
                <w:rFonts w:hint="eastAsia"/>
                <w:highlight w:val="none"/>
              </w:rPr>
              <w:t>的</w:t>
            </w:r>
            <w:r>
              <w:rPr>
                <w:rFonts w:hint="eastAsia"/>
                <w:highlight w:val="none"/>
                <w:lang w:val="en-US" w:eastAsia="zh-CN"/>
              </w:rPr>
              <w:t>1</w:t>
            </w:r>
            <w:r>
              <w:rPr>
                <w:rFonts w:hint="eastAsia"/>
                <w:highlight w:val="none"/>
              </w:rPr>
              <w:t>项</w:t>
            </w:r>
            <w:r>
              <w:rPr>
                <w:rFonts w:hint="eastAsia"/>
              </w:rPr>
              <w:t>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17</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20A383C"/>
    <w:rsid w:val="027155B8"/>
    <w:rsid w:val="03516FBF"/>
    <w:rsid w:val="03712EB6"/>
    <w:rsid w:val="04B74C29"/>
    <w:rsid w:val="0513540B"/>
    <w:rsid w:val="05CB745D"/>
    <w:rsid w:val="0650515A"/>
    <w:rsid w:val="06787267"/>
    <w:rsid w:val="06FA74CE"/>
    <w:rsid w:val="07454BF9"/>
    <w:rsid w:val="08526533"/>
    <w:rsid w:val="08665384"/>
    <w:rsid w:val="09714591"/>
    <w:rsid w:val="09757925"/>
    <w:rsid w:val="0A031B7E"/>
    <w:rsid w:val="0A344661"/>
    <w:rsid w:val="0AD54E7E"/>
    <w:rsid w:val="0D2904C6"/>
    <w:rsid w:val="0DA373F7"/>
    <w:rsid w:val="0E796AAB"/>
    <w:rsid w:val="0ECD6DF7"/>
    <w:rsid w:val="0EE72544"/>
    <w:rsid w:val="10E55D53"/>
    <w:rsid w:val="123745D3"/>
    <w:rsid w:val="141D612B"/>
    <w:rsid w:val="14D03112"/>
    <w:rsid w:val="15305016"/>
    <w:rsid w:val="15D66E83"/>
    <w:rsid w:val="16953304"/>
    <w:rsid w:val="17002D2F"/>
    <w:rsid w:val="18276FEE"/>
    <w:rsid w:val="19267EB3"/>
    <w:rsid w:val="1949206D"/>
    <w:rsid w:val="1A824F3A"/>
    <w:rsid w:val="1A8F5B40"/>
    <w:rsid w:val="1B2E6E70"/>
    <w:rsid w:val="1B716A93"/>
    <w:rsid w:val="1C7063F6"/>
    <w:rsid w:val="1CE0094F"/>
    <w:rsid w:val="1D24536D"/>
    <w:rsid w:val="1E4001C0"/>
    <w:rsid w:val="1F1D2DF1"/>
    <w:rsid w:val="20B55234"/>
    <w:rsid w:val="212E0F08"/>
    <w:rsid w:val="22082216"/>
    <w:rsid w:val="224A458F"/>
    <w:rsid w:val="22BA1D33"/>
    <w:rsid w:val="232F45C5"/>
    <w:rsid w:val="23982480"/>
    <w:rsid w:val="24502A33"/>
    <w:rsid w:val="245154CD"/>
    <w:rsid w:val="2457438C"/>
    <w:rsid w:val="2504136D"/>
    <w:rsid w:val="253A10F5"/>
    <w:rsid w:val="254F4277"/>
    <w:rsid w:val="26153106"/>
    <w:rsid w:val="26D82161"/>
    <w:rsid w:val="274C0DA9"/>
    <w:rsid w:val="277E784E"/>
    <w:rsid w:val="27C26894"/>
    <w:rsid w:val="290966B1"/>
    <w:rsid w:val="2A5078E5"/>
    <w:rsid w:val="2A850E81"/>
    <w:rsid w:val="2ADE7C21"/>
    <w:rsid w:val="2C7A1F81"/>
    <w:rsid w:val="2CA23219"/>
    <w:rsid w:val="2D065927"/>
    <w:rsid w:val="2D9F6B9D"/>
    <w:rsid w:val="2EA67DBA"/>
    <w:rsid w:val="2EAA0351"/>
    <w:rsid w:val="2EC60A4A"/>
    <w:rsid w:val="2F5E00BE"/>
    <w:rsid w:val="2FDB6DA0"/>
    <w:rsid w:val="30515E89"/>
    <w:rsid w:val="307431BA"/>
    <w:rsid w:val="3179422E"/>
    <w:rsid w:val="323B2146"/>
    <w:rsid w:val="32600AB0"/>
    <w:rsid w:val="333F679B"/>
    <w:rsid w:val="346702DF"/>
    <w:rsid w:val="355D2B6D"/>
    <w:rsid w:val="357D4824"/>
    <w:rsid w:val="357F4A70"/>
    <w:rsid w:val="35A27ADC"/>
    <w:rsid w:val="36B42A46"/>
    <w:rsid w:val="38A153F5"/>
    <w:rsid w:val="38D46761"/>
    <w:rsid w:val="39F96EC0"/>
    <w:rsid w:val="3B7017EA"/>
    <w:rsid w:val="3C010D46"/>
    <w:rsid w:val="3C1A1A14"/>
    <w:rsid w:val="3C8D3764"/>
    <w:rsid w:val="3D08427C"/>
    <w:rsid w:val="3DA83259"/>
    <w:rsid w:val="3E196FDB"/>
    <w:rsid w:val="3E203478"/>
    <w:rsid w:val="3E241CE0"/>
    <w:rsid w:val="3E3208A1"/>
    <w:rsid w:val="3EBE77FC"/>
    <w:rsid w:val="3EFE4513"/>
    <w:rsid w:val="3F704A4D"/>
    <w:rsid w:val="3F9B06C8"/>
    <w:rsid w:val="40BD6D76"/>
    <w:rsid w:val="41A2189A"/>
    <w:rsid w:val="42A57E19"/>
    <w:rsid w:val="42C67AC2"/>
    <w:rsid w:val="430622FC"/>
    <w:rsid w:val="433078AD"/>
    <w:rsid w:val="434D31F4"/>
    <w:rsid w:val="44421112"/>
    <w:rsid w:val="45013BA2"/>
    <w:rsid w:val="45205628"/>
    <w:rsid w:val="45AF0065"/>
    <w:rsid w:val="47751CE6"/>
    <w:rsid w:val="48140EBF"/>
    <w:rsid w:val="48D21BCA"/>
    <w:rsid w:val="48D53A6F"/>
    <w:rsid w:val="493161EC"/>
    <w:rsid w:val="4B3F63AB"/>
    <w:rsid w:val="4B4340EE"/>
    <w:rsid w:val="4C7363EE"/>
    <w:rsid w:val="4D38621A"/>
    <w:rsid w:val="4D4F657C"/>
    <w:rsid w:val="4E2F4034"/>
    <w:rsid w:val="4FC852ED"/>
    <w:rsid w:val="502D711A"/>
    <w:rsid w:val="50692720"/>
    <w:rsid w:val="51416E8D"/>
    <w:rsid w:val="514951D3"/>
    <w:rsid w:val="519A2506"/>
    <w:rsid w:val="52445C69"/>
    <w:rsid w:val="52EA6FAB"/>
    <w:rsid w:val="53281E1B"/>
    <w:rsid w:val="55430790"/>
    <w:rsid w:val="55CE6CAA"/>
    <w:rsid w:val="56852DEC"/>
    <w:rsid w:val="568741A9"/>
    <w:rsid w:val="57790E97"/>
    <w:rsid w:val="577B3D89"/>
    <w:rsid w:val="59B11F79"/>
    <w:rsid w:val="5A166CB1"/>
    <w:rsid w:val="5B4A6DD2"/>
    <w:rsid w:val="5CC6692D"/>
    <w:rsid w:val="5E3B6EA6"/>
    <w:rsid w:val="5F437A19"/>
    <w:rsid w:val="5FEA3EDB"/>
    <w:rsid w:val="605B738C"/>
    <w:rsid w:val="606C4FF8"/>
    <w:rsid w:val="60924BE4"/>
    <w:rsid w:val="60F33A68"/>
    <w:rsid w:val="610B7637"/>
    <w:rsid w:val="621A068C"/>
    <w:rsid w:val="62A0377C"/>
    <w:rsid w:val="631041F7"/>
    <w:rsid w:val="64A901F2"/>
    <w:rsid w:val="64D43BB1"/>
    <w:rsid w:val="65631BEC"/>
    <w:rsid w:val="66F422E8"/>
    <w:rsid w:val="67DC109F"/>
    <w:rsid w:val="67DC7120"/>
    <w:rsid w:val="68610BDD"/>
    <w:rsid w:val="69981DC2"/>
    <w:rsid w:val="6A0E09A6"/>
    <w:rsid w:val="6A446B8F"/>
    <w:rsid w:val="6C4D6722"/>
    <w:rsid w:val="6D1859BB"/>
    <w:rsid w:val="6D3717EF"/>
    <w:rsid w:val="6F3275E5"/>
    <w:rsid w:val="6FE60D13"/>
    <w:rsid w:val="70656F4F"/>
    <w:rsid w:val="71675783"/>
    <w:rsid w:val="72597B19"/>
    <w:rsid w:val="752B3379"/>
    <w:rsid w:val="756B5C54"/>
    <w:rsid w:val="76EA0712"/>
    <w:rsid w:val="77484C57"/>
    <w:rsid w:val="776779EC"/>
    <w:rsid w:val="77EF68E0"/>
    <w:rsid w:val="78CB4738"/>
    <w:rsid w:val="79943B71"/>
    <w:rsid w:val="79EF706B"/>
    <w:rsid w:val="79F4608F"/>
    <w:rsid w:val="7AC2506B"/>
    <w:rsid w:val="7BBE3E32"/>
    <w:rsid w:val="7FF752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19869</Words>
  <Characters>20880</Characters>
  <Lines>150</Lines>
  <Paragraphs>42</Paragraphs>
  <TotalTime>12</TotalTime>
  <ScaleCrop>false</ScaleCrop>
  <LinksUpToDate>false</LinksUpToDate>
  <CharactersWithSpaces>21003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2022-05-11T08:14:00Z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