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过程与活动、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涉及</w:t>
            </w:r>
          </w:p>
          <w:p>
            <w:pPr>
              <w:spacing w:after="0"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受审核部门：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雄宇重工集团股份有限公司</w:t>
            </w:r>
            <w:r>
              <w:rPr>
                <w:rFonts w:hint="eastAsia"/>
                <w:color w:val="000000" w:themeColor="text1"/>
                <w:szCs w:val="21"/>
              </w:rPr>
              <w:t xml:space="preserve">   总经理：谢家学      陪同人员： 李纲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 w:themeColor="text1"/>
                <w:szCs w:val="21"/>
              </w:rPr>
              <w:t>王宁敏</w:t>
            </w:r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 xml:space="preserve">   审核时间：</w:t>
            </w:r>
            <w:bookmarkStart w:id="1" w:name="审核日期"/>
            <w:r>
              <w:rPr>
                <w:rFonts w:hint="eastAsia"/>
                <w:b/>
                <w:color w:val="000000" w:themeColor="text1"/>
                <w:szCs w:val="21"/>
              </w:rPr>
              <w:t>2022年0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05</w:t>
            </w:r>
            <w:r>
              <w:rPr>
                <w:rFonts w:hint="eastAsia"/>
                <w:b/>
                <w:color w:val="000000" w:themeColor="text1"/>
                <w:szCs w:val="21"/>
              </w:rPr>
              <w:t>日 上午至2022年0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</w:rPr>
              <w:t>05</w:t>
            </w:r>
            <w:r>
              <w:rPr>
                <w:rFonts w:hint="eastAsia"/>
                <w:b/>
                <w:color w:val="000000" w:themeColor="text1"/>
                <w:szCs w:val="21"/>
              </w:rPr>
              <w:t>日 下午</w:t>
            </w:r>
            <w:bookmarkEnd w:id="1"/>
            <w:r>
              <w:rPr>
                <w:rFonts w:hint="eastAsia"/>
                <w:b/>
                <w:color w:val="000000" w:themeColor="text1"/>
                <w:szCs w:val="21"/>
              </w:rPr>
              <w:t>，共</w:t>
            </w:r>
            <w:bookmarkStart w:id="2" w:name="审核天数"/>
            <w:r>
              <w:rPr>
                <w:rFonts w:hint="eastAsia"/>
                <w:b/>
                <w:color w:val="000000" w:themeColor="text1"/>
                <w:szCs w:val="21"/>
              </w:rPr>
              <w:t>1.0</w:t>
            </w:r>
            <w:bookmarkEnd w:id="2"/>
            <w:r>
              <w:rPr>
                <w:rFonts w:hint="eastAsia"/>
                <w:b/>
                <w:color w:val="000000" w:themeColor="text1"/>
                <w:szCs w:val="21"/>
              </w:rPr>
              <w:t>天。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1、合同基本信息确认:（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color w:val="000000" w:themeColor="text1"/>
                <w:sz w:val="20"/>
              </w:rPr>
              <w:t>8:30-10:30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确定审核范围的合理性（地址、产品/服务）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确定多现场和临时现场的地址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确定有效的员工人数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生产、服务的班次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体系运行时间是否满足6个月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color w:val="000000" w:themeColor="text1"/>
                <w:sz w:val="20"/>
              </w:rPr>
              <w:t>10:30-12:00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color w:val="000000" w:themeColor="text1"/>
                <w:sz w:val="20"/>
              </w:rPr>
              <w:t>13:00-15: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管理手册；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文件化的程序；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作业文件；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 记录表格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color w:val="000000" w:themeColor="text1"/>
                <w:sz w:val="20"/>
              </w:rPr>
              <w:t>15: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color w:val="000000" w:themeColor="text1"/>
                <w:sz w:val="20"/>
              </w:rPr>
              <w:t>0-16:30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对多场所/临时场所建立的控制的水平（适用时）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1、合同基本信息确认:（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8:30-10:30）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视频检查《营业执照》——：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正本 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副本；  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原件  □复印件</w:t>
            </w:r>
          </w:p>
          <w:p>
            <w:pPr>
              <w:spacing w:after="0" w:line="240" w:lineRule="auto"/>
              <w:ind w:firstLine="420" w:firstLineChars="20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>编号：</w:t>
            </w:r>
            <w:r>
              <w:rPr>
                <w:color w:val="000000" w:themeColor="text1"/>
                <w:szCs w:val="21"/>
                <w:u w:val="single"/>
              </w:rPr>
              <w:t>91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320200567804536E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；  有效期： </w:t>
            </w:r>
            <w:r>
              <w:rPr>
                <w:color w:val="000000" w:themeColor="text1"/>
                <w:szCs w:val="21"/>
                <w:u w:val="single"/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21"/>
                <w:u w:val="single"/>
              </w:rPr>
              <w:t>1-1-1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t>﹡﹡﹡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>；</w:t>
            </w:r>
          </w:p>
          <w:p>
            <w:pPr>
              <w:pStyle w:val="2"/>
              <w:ind w:firstLine="460" w:firstLineChars="200"/>
              <w:rPr>
                <w:rFonts w:hint="eastAsia" w:eastAsia="宋体"/>
                <w:color w:val="000000" w:themeColor="text1"/>
                <w:u w:val="single"/>
                <w:lang w:eastAsia="zh-CN"/>
              </w:rPr>
            </w:pPr>
            <w:r>
              <w:rPr>
                <w:rFonts w:hint="eastAsia"/>
                <w:color w:val="000000" w:themeColor="text1"/>
                <w:u w:val="single"/>
              </w:rPr>
              <w:t>住所：</w:t>
            </w:r>
            <w:r>
              <w:rPr>
                <w:rFonts w:hint="eastAsia"/>
                <w:color w:val="000000" w:themeColor="text1"/>
                <w:u w:val="single"/>
                <w:lang w:eastAsia="zh-CN"/>
              </w:rPr>
              <w:t>无锡市南湖中路28-7</w:t>
            </w:r>
          </w:p>
          <w:p>
            <w:pPr>
              <w:spacing w:after="120" w:line="240" w:lineRule="auto"/>
              <w:ind w:firstLine="420" w:firstLineChars="200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经营范围的相关描述：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擦窗机、高空作业平台、电动吊篮、施工升降机、桥梁养护监测设备、工具式脚手架的设计及技术研发；通用机械及配件、电气机械及器材、仪器仪表、脚手架的销售、租赁（不含融资性租赁、安装及维修服务；自营和代理各类商品和技术的进出口业务，（但国家限定公司经营或禁止进出口的商品和技术除外）；利用自有资产对外投资；以下限分支机构经营：擦窗机、高空作业平台、电动吊篮、施工升降机、桥梁养护监测设备、工具式脚手架的制造、加工。（依法须经批准的项目，经相关部门批准后方可开展经营活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认证申请范围： 登高式擦窗设备生产所涉及的能源管理活动。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远程审核最后确定审核范围：EnMS：登高式擦窗设备生产所涉及的能源管理活动。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原件和复印件/扫描件的一致。提供的是照片版（PDF），是一致的。</w:t>
            </w:r>
          </w:p>
          <w:p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drawing>
                <wp:inline distT="0" distB="0" distL="114300" distR="114300">
                  <wp:extent cx="1693545" cy="1863090"/>
                  <wp:effectExtent l="0" t="0" r="5715" b="381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drawing>
                <wp:inline distT="0" distB="0" distL="114300" distR="114300">
                  <wp:extent cx="2727960" cy="1664335"/>
                  <wp:effectExtent l="0" t="0" r="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spacing w:after="12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无锡市南湖中路28-7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:u w:val="single"/>
                <w:lang w:eastAsia="zh-CN"/>
              </w:rPr>
              <w:t>无锡市南湖中路28-7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注册地址与生产或服务地址一致，经营地址与生产服务地址一致。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多现场的名称和具体位置：无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</w:rPr>
              <w:t>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</w:t>
            </w:r>
            <w:r>
              <w:rPr>
                <w:color w:val="000000" w:themeColor="text1"/>
              </w:rPr>
              <w:t>建立的控制水平（</w:t>
            </w:r>
            <w:r>
              <w:rPr>
                <w:rFonts w:hint="eastAsia"/>
                <w:color w:val="000000" w:themeColor="text1"/>
              </w:rPr>
              <w:t>适用</w:t>
            </w:r>
            <w:r>
              <w:rPr>
                <w:color w:val="000000" w:themeColor="text1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与组织总部在同一管理体系下运行 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组织总部有权对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/临时场所进行监督管理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按照统一安排实施内部审核（不强制同一时段）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生产/服务流程图：</w:t>
            </w:r>
          </w:p>
          <w:p>
            <w:pPr>
              <w:pStyle w:val="2"/>
              <w:rPr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下料→金加工→拼装→焊接→打磨→喷漆/喷塑（外包）→测试→包装→入库；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</w:rPr>
              <w:t>认证范围内能源管理体系覆盖的人数（总计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124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人，总人数：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124</w:t>
            </w:r>
            <w:r>
              <w:rPr>
                <w:rFonts w:hint="eastAsia"/>
                <w:color w:val="000000" w:themeColor="text1"/>
                <w:szCs w:val="22"/>
              </w:rPr>
              <w:t>），教授2名、博士3人、硕士5人、行业专家6人、东方硅谷领军人才1 人、江苏省六大人才高峰1人、标委会委员2人、国际标委会委员1人。（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认证申请是124人，</w:t>
            </w:r>
            <w:r>
              <w:rPr>
                <w:rFonts w:hint="eastAsia"/>
                <w:color w:val="000000" w:themeColor="text1"/>
                <w:szCs w:val="22"/>
              </w:rPr>
              <w:t>现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组长与企业沟通</w:t>
            </w:r>
            <w:r>
              <w:rPr>
                <w:rFonts w:hint="eastAsia"/>
                <w:color w:val="000000" w:themeColor="text1"/>
                <w:szCs w:val="22"/>
              </w:rPr>
              <w:t>已进行核实为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124</w:t>
            </w:r>
            <w:r>
              <w:rPr>
                <w:rFonts w:hint="eastAsia"/>
                <w:color w:val="000000" w:themeColor="text1"/>
                <w:szCs w:val="22"/>
              </w:rPr>
              <w:t>人）。</w:t>
            </w:r>
          </w:p>
          <w:p>
            <w:pPr>
              <w:rPr>
                <w:color w:val="000000" w:themeColor="text1"/>
                <w:szCs w:val="22"/>
                <w:highlight w:val="yellow"/>
              </w:rPr>
            </w:pPr>
            <w:r>
              <w:rPr>
                <w:rFonts w:hint="eastAsia"/>
                <w:color w:val="000000" w:themeColor="text1"/>
                <w:szCs w:val="22"/>
              </w:rPr>
              <w:t>管理人员32，作业人员92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</w:rPr>
              <w:t>从事相同/重复工作人员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人；其中承包商 0 人；倒班人员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人；劳务派遣人员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人；临时工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人；季节工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生产/服务的班次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</w:t>
            </w:r>
            <w:r>
              <w:rPr>
                <w:rFonts w:hint="eastAsia"/>
                <w:color w:val="000000" w:themeColor="text1"/>
                <w:szCs w:val="21"/>
              </w:rPr>
              <w:t>7:00）其中12:00-13:00午餐休息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□双班（例如：早班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:00-1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:00；晚班1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:00-次日0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Cs w:val="21"/>
              </w:rPr>
              <w:t>:00）。</w:t>
            </w:r>
          </w:p>
          <w:p>
            <w:pPr>
              <w:rPr>
                <w:color w:val="000000" w:themeColor="text1"/>
                <w:szCs w:val="21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体系运行时间是否满足6个月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至今管理体系已运行6个月以上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至今管理体系运行不足6个月以上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2、了解企业基本情况：（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10:30-12:00）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组织环境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主要的相关方和期望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风险的识别和评价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组织机构的设置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外部提供过程、产品和服务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被主管部门处罚和曝光情况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  <w:u w:val="single"/>
              </w:rPr>
              <w:t xml:space="preserve"> 产品运输 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其他机构转入情况（适用时）无</w:t>
            </w:r>
          </w:p>
          <w:p>
            <w:pPr>
              <w:spacing w:after="0"/>
              <w:ind w:firstLine="210" w:firstLineChars="100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3、文件化体系策划情况（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5月5日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13:00-15: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spacing w:after="0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《能源管理体系管理手册》 1  份；覆盖了 □QMS □50430 □EMS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EnMS □OHSMS  □FSMS □HACCP</w:t>
            </w:r>
          </w:p>
          <w:p>
            <w:pPr>
              <w:spacing w:after="0"/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文件审核:</w:t>
            </w:r>
          </w:p>
          <w:p>
            <w:pPr>
              <w:spacing w:after="0"/>
              <w:ind w:firstLine="632" w:firstLineChars="300"/>
              <w:rPr>
                <w:color w:val="000000" w:themeColor="text1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企业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在能源管理体系《能源管理手册》中“能源管理手册发布令”、“04 管理者代表任命书”、“2  引用标准”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中缺少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对标准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《.RB∕T119-2015 能源管理体系 机械制造企业认证要求》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描述。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文件化的程序； 2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 xml:space="preserve"> 份；详见《能源管理体系程序文件清单》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能源管理文件；  </w:t>
            </w:r>
            <w:r>
              <w:rPr>
                <w:rFonts w:hint="eastAsia"/>
                <w:color w:val="000000" w:themeColor="text1"/>
                <w:lang w:val="en-US" w:eastAsia="zh-CN"/>
              </w:rPr>
              <w:t>4部分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spacing w:after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记录表格； 若干 份；</w:t>
            </w:r>
          </w:p>
          <w:p>
            <w:pPr>
              <w:pStyle w:val="2"/>
              <w:ind w:firstLine="460" w:firstLineChars="200"/>
              <w:rPr>
                <w:rFonts w:hint="default" w:eastAsia="宋体"/>
                <w:color w:val="000000" w:themeColor="text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4、各管理体系的运行情况：（15: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0-16:30）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管理方针制定与贯彻情况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组织文件化的管理方针已制定，能源方针内容为：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遵守法规  清洁生产  创新改造  提高能效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80" w:line="240" w:lineRule="auto"/>
              <w:ind w:firstLine="420" w:firstLineChars="200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</w:p>
          <w:p>
            <w:pPr>
              <w:spacing w:after="80" w:line="240" w:lineRule="auto"/>
              <w:ind w:firstLine="420" w:firstLineChars="200"/>
              <w:rPr>
                <w:rFonts w:hint="default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产品单位产量综合能耗下降</w:t>
            </w:r>
            <w:r>
              <w:rPr>
                <w:rFonts w:hint="eastAsia"/>
                <w:color w:val="000000" w:themeColor="text1"/>
                <w:szCs w:val="18"/>
              </w:rPr>
              <w:tab/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2021年</w:t>
            </w:r>
            <w:r>
              <w:rPr>
                <w:rFonts w:hint="eastAsia"/>
                <w:color w:val="000000" w:themeColor="text1"/>
                <w:szCs w:val="18"/>
              </w:rPr>
              <w:t>3%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下降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2022年下降</w:t>
            </w:r>
            <w:r>
              <w:rPr>
                <w:rFonts w:hint="eastAsia"/>
                <w:color w:val="000000" w:themeColor="text1"/>
                <w:szCs w:val="18"/>
              </w:rPr>
              <w:t>3%</w:t>
            </w:r>
          </w:p>
          <w:p>
            <w:pPr>
              <w:pStyle w:val="2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（目标制定不合理）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80" w:line="24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 xml:space="preserve">EnMS   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日至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1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内审报告。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>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管理评审输出（报告）。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对多现场（固定）建立的控制的水平（适用时）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多现场的名称和具体位置：无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对临时场所建立的控制的水平（适用时）</w:t>
            </w:r>
          </w:p>
          <w:p>
            <w:pPr>
              <w:snapToGrid w:val="0"/>
              <w:spacing w:after="0" w:line="0" w:lineRule="atLeas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临时现场的名称和具体位置：无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spacing w:after="0"/>
              <w:rPr>
                <w:color w:val="000000" w:themeColor="text1"/>
                <w:szCs w:val="21"/>
                <w:u w:val="single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spacing w:after="0"/>
              <w:rPr>
                <w:color w:val="000000" w:themeColor="text1"/>
              </w:rPr>
            </w:pPr>
          </w:p>
          <w:p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spacing w:after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全部远程审核（因为疫情原因）。        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spacing w:after="0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widowControl/>
              <w:spacing w:after="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</w:rPr>
              <w:t xml:space="preserve"> 不存在影响二阶段审核的问题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</w:rPr>
              <w:t>公司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124</w:t>
            </w:r>
            <w:r>
              <w:rPr>
                <w:rFonts w:hint="eastAsia"/>
                <w:color w:val="000000" w:themeColor="text1"/>
                <w:szCs w:val="21"/>
              </w:rPr>
              <w:t>人，其中体系覆盖人数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124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2"/>
              </w:rPr>
              <w:t>教授2名、博士3人、硕士5人、行业专家6人、东方硅谷领军人才1 人、江苏省六大人才高峰1人、标委会委员2人、国际标委会委员1人。管理人员32，作业人员92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从事相同/重复工作人数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人；劳务派遣人员0 人；临时工0 人；其中承包商员工数0人；季节工 0 人。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注册资金：6130万，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固定资产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15249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万，占地面积：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20亩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企业主要消耗能源种类为电力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水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，设备设施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102台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套，配置电表：9块；水表：1块。</w:t>
            </w:r>
          </w:p>
          <w:p>
            <w:pPr>
              <w:widowControl/>
              <w:spacing w:after="0"/>
              <w:ind w:firstLine="400" w:firstLineChars="200"/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主要耗能设备为JE21-63开式固定台压力机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QC11Y液压闸式剪板机</w:t>
            </w:r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</w:rPr>
              <w:t>、</w:t>
            </w:r>
            <w:bookmarkStart w:id="3" w:name="_GoBack"/>
            <w:r>
              <w:rPr>
                <w:rFonts w:hint="eastAsia"/>
                <w:color w:val="000000" w:themeColor="text1"/>
                <w:sz w:val="20"/>
                <w:szCs w:val="22"/>
              </w:rPr>
              <w:t>FHOGD-18.5F螺杆空压机</w:t>
            </w:r>
            <w:bookmarkEnd w:id="3"/>
            <w:r>
              <w:rPr>
                <w:rFonts w:hint="eastAsia"/>
                <w:color w:val="000000" w:themeColor="text1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光纤激光切割机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共4台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。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大专以上学历？人</w:t>
            </w:r>
          </w:p>
          <w:p>
            <w:pPr>
              <w:widowControl/>
              <w:spacing w:after="0"/>
              <w:ind w:firstLine="420" w:firstLineChars="20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公司的组织机构：管理层、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行政管理中心</w:t>
            </w:r>
            <w:r>
              <w:rPr>
                <w:rFonts w:hint="eastAsia"/>
                <w:color w:val="000000" w:themeColor="text1"/>
                <w:szCs w:val="21"/>
              </w:rPr>
              <w:t>、生产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管理中心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质量管理中心、物资管理中心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财务管理中心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after="0" w:line="240" w:lineRule="auto"/>
              <w:ind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□员工人数变更                                     </w:t>
            </w:r>
          </w:p>
          <w:p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临时现场变更                                     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pStyle w:val="2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hint="eastAsia"/>
                <w:b/>
                <w:bCs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其他：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实行远程审核。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pStyle w:val="1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</w:tbl>
    <w:p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after="0"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-26035</wp:posOffset>
          </wp:positionV>
          <wp:extent cx="383540" cy="394335"/>
          <wp:effectExtent l="0" t="0" r="5080" b="190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pict>
        <v:shape id="_x0000_s1025" o:spid="_x0000_s1025" o:spt="202" type="#_x0000_t202" style="position:absolute;left:0pt;margin-left:620.4pt;margin-top:4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</w:p>
  <w:p>
    <w:pPr>
      <w:pStyle w:val="6"/>
      <w:pBdr>
        <w:bottom w:val="single" w:color="auto" w:sz="4" w:space="1"/>
      </w:pBdr>
      <w:spacing w:after="0"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4E"/>
    <w:rsid w:val="0007676F"/>
    <w:rsid w:val="001147E5"/>
    <w:rsid w:val="00172A27"/>
    <w:rsid w:val="002013BA"/>
    <w:rsid w:val="00241720"/>
    <w:rsid w:val="00245924"/>
    <w:rsid w:val="00303A54"/>
    <w:rsid w:val="00304532"/>
    <w:rsid w:val="00326053"/>
    <w:rsid w:val="003A4F35"/>
    <w:rsid w:val="0051054B"/>
    <w:rsid w:val="00515F0E"/>
    <w:rsid w:val="00574151"/>
    <w:rsid w:val="005C60C5"/>
    <w:rsid w:val="006C36D2"/>
    <w:rsid w:val="006E2BFD"/>
    <w:rsid w:val="00723661"/>
    <w:rsid w:val="007336B5"/>
    <w:rsid w:val="00746344"/>
    <w:rsid w:val="008115B8"/>
    <w:rsid w:val="00942F75"/>
    <w:rsid w:val="00A146E6"/>
    <w:rsid w:val="00A16BB0"/>
    <w:rsid w:val="00AA396E"/>
    <w:rsid w:val="00B92705"/>
    <w:rsid w:val="00C032D6"/>
    <w:rsid w:val="00C4450D"/>
    <w:rsid w:val="00C5277D"/>
    <w:rsid w:val="00C84B4E"/>
    <w:rsid w:val="00D1644E"/>
    <w:rsid w:val="00D2145F"/>
    <w:rsid w:val="00D34C11"/>
    <w:rsid w:val="00D77DE0"/>
    <w:rsid w:val="00DC71F1"/>
    <w:rsid w:val="00DD5F34"/>
    <w:rsid w:val="00EF472B"/>
    <w:rsid w:val="00F620B8"/>
    <w:rsid w:val="00FA1B66"/>
    <w:rsid w:val="00FA77F6"/>
    <w:rsid w:val="00FF5429"/>
    <w:rsid w:val="02A21557"/>
    <w:rsid w:val="02B2638A"/>
    <w:rsid w:val="03B509C5"/>
    <w:rsid w:val="047D6715"/>
    <w:rsid w:val="04E66B72"/>
    <w:rsid w:val="05270485"/>
    <w:rsid w:val="057B61BC"/>
    <w:rsid w:val="05822728"/>
    <w:rsid w:val="05EB0863"/>
    <w:rsid w:val="06687FA8"/>
    <w:rsid w:val="06897C76"/>
    <w:rsid w:val="076D2BF1"/>
    <w:rsid w:val="07A03443"/>
    <w:rsid w:val="07FA536C"/>
    <w:rsid w:val="0827747F"/>
    <w:rsid w:val="084E5260"/>
    <w:rsid w:val="08C86C04"/>
    <w:rsid w:val="0A053A56"/>
    <w:rsid w:val="0A0D1352"/>
    <w:rsid w:val="0AC654AA"/>
    <w:rsid w:val="0B665D46"/>
    <w:rsid w:val="0C757D7D"/>
    <w:rsid w:val="0DC2217C"/>
    <w:rsid w:val="0DC94BAF"/>
    <w:rsid w:val="0DE106CC"/>
    <w:rsid w:val="0DE678DC"/>
    <w:rsid w:val="0E0237E1"/>
    <w:rsid w:val="0E4A4A55"/>
    <w:rsid w:val="0E584A1A"/>
    <w:rsid w:val="0EA35F1E"/>
    <w:rsid w:val="10166C1F"/>
    <w:rsid w:val="10A72D8E"/>
    <w:rsid w:val="11EB75CD"/>
    <w:rsid w:val="12FE06C0"/>
    <w:rsid w:val="1303564D"/>
    <w:rsid w:val="134E54F4"/>
    <w:rsid w:val="140F1ACF"/>
    <w:rsid w:val="143E3A2C"/>
    <w:rsid w:val="15C332CB"/>
    <w:rsid w:val="1775282D"/>
    <w:rsid w:val="17B20ED0"/>
    <w:rsid w:val="17D07710"/>
    <w:rsid w:val="17D21671"/>
    <w:rsid w:val="17F4574E"/>
    <w:rsid w:val="17F4770E"/>
    <w:rsid w:val="18B0256F"/>
    <w:rsid w:val="196E5D4C"/>
    <w:rsid w:val="19CE2DD1"/>
    <w:rsid w:val="1A337E59"/>
    <w:rsid w:val="1A9C09F8"/>
    <w:rsid w:val="1ACD6B4E"/>
    <w:rsid w:val="1ADA1082"/>
    <w:rsid w:val="1AF21ED1"/>
    <w:rsid w:val="1BBE20BA"/>
    <w:rsid w:val="1BE301AC"/>
    <w:rsid w:val="1CA62816"/>
    <w:rsid w:val="1CA660B5"/>
    <w:rsid w:val="1D513CD4"/>
    <w:rsid w:val="1D664946"/>
    <w:rsid w:val="1E8A4437"/>
    <w:rsid w:val="1F3C2C99"/>
    <w:rsid w:val="1F71411B"/>
    <w:rsid w:val="1FB20D0B"/>
    <w:rsid w:val="1FE855EB"/>
    <w:rsid w:val="2180393B"/>
    <w:rsid w:val="21F808BC"/>
    <w:rsid w:val="231F27C7"/>
    <w:rsid w:val="24570B7C"/>
    <w:rsid w:val="24DF1298"/>
    <w:rsid w:val="25305133"/>
    <w:rsid w:val="26434431"/>
    <w:rsid w:val="26976C7E"/>
    <w:rsid w:val="273E3668"/>
    <w:rsid w:val="27DB03E9"/>
    <w:rsid w:val="283D64C7"/>
    <w:rsid w:val="2901023A"/>
    <w:rsid w:val="2BFA4849"/>
    <w:rsid w:val="2CD555A4"/>
    <w:rsid w:val="2EDA255E"/>
    <w:rsid w:val="2F163ED6"/>
    <w:rsid w:val="2FC608E3"/>
    <w:rsid w:val="312171D0"/>
    <w:rsid w:val="31695936"/>
    <w:rsid w:val="31787532"/>
    <w:rsid w:val="32735956"/>
    <w:rsid w:val="342505BF"/>
    <w:rsid w:val="36F22E22"/>
    <w:rsid w:val="394A040E"/>
    <w:rsid w:val="39AC6892"/>
    <w:rsid w:val="3A1D497A"/>
    <w:rsid w:val="3A570107"/>
    <w:rsid w:val="3AE33BB1"/>
    <w:rsid w:val="3B503D6D"/>
    <w:rsid w:val="3C1146FF"/>
    <w:rsid w:val="3C115190"/>
    <w:rsid w:val="3C90790F"/>
    <w:rsid w:val="3CE90E2D"/>
    <w:rsid w:val="3F337BEF"/>
    <w:rsid w:val="3F813F85"/>
    <w:rsid w:val="400C159B"/>
    <w:rsid w:val="44867F93"/>
    <w:rsid w:val="45A86962"/>
    <w:rsid w:val="45C77626"/>
    <w:rsid w:val="45D513DA"/>
    <w:rsid w:val="45EC3DB0"/>
    <w:rsid w:val="465F2D87"/>
    <w:rsid w:val="46ED00AB"/>
    <w:rsid w:val="47FD313C"/>
    <w:rsid w:val="49526E08"/>
    <w:rsid w:val="49663280"/>
    <w:rsid w:val="4A0016FF"/>
    <w:rsid w:val="4A924CA5"/>
    <w:rsid w:val="4ABE6A0E"/>
    <w:rsid w:val="4B3737D8"/>
    <w:rsid w:val="4C164D2F"/>
    <w:rsid w:val="4D674BB7"/>
    <w:rsid w:val="4D684B4A"/>
    <w:rsid w:val="4DA06891"/>
    <w:rsid w:val="4F531088"/>
    <w:rsid w:val="50AF1F2D"/>
    <w:rsid w:val="518D121B"/>
    <w:rsid w:val="51D80C24"/>
    <w:rsid w:val="51F65E6E"/>
    <w:rsid w:val="52861D1B"/>
    <w:rsid w:val="53145C03"/>
    <w:rsid w:val="53914F4E"/>
    <w:rsid w:val="542E63CF"/>
    <w:rsid w:val="54423C5B"/>
    <w:rsid w:val="54C64307"/>
    <w:rsid w:val="55246C39"/>
    <w:rsid w:val="554460D3"/>
    <w:rsid w:val="56213DDB"/>
    <w:rsid w:val="56743553"/>
    <w:rsid w:val="56AE652D"/>
    <w:rsid w:val="56D47606"/>
    <w:rsid w:val="571313D0"/>
    <w:rsid w:val="571971A8"/>
    <w:rsid w:val="57B56FED"/>
    <w:rsid w:val="57EB5E9C"/>
    <w:rsid w:val="59CE0A5D"/>
    <w:rsid w:val="59D832DF"/>
    <w:rsid w:val="5ABD4700"/>
    <w:rsid w:val="5B493472"/>
    <w:rsid w:val="5C0A4350"/>
    <w:rsid w:val="5C916C5B"/>
    <w:rsid w:val="5D101279"/>
    <w:rsid w:val="5D6266AA"/>
    <w:rsid w:val="5E687504"/>
    <w:rsid w:val="5F06661C"/>
    <w:rsid w:val="5F8D511C"/>
    <w:rsid w:val="5FC053DC"/>
    <w:rsid w:val="60501044"/>
    <w:rsid w:val="609D49DD"/>
    <w:rsid w:val="61604EB1"/>
    <w:rsid w:val="61A11641"/>
    <w:rsid w:val="61B548E1"/>
    <w:rsid w:val="62F56A34"/>
    <w:rsid w:val="63FB54EB"/>
    <w:rsid w:val="64520676"/>
    <w:rsid w:val="67A108C5"/>
    <w:rsid w:val="67FA4B26"/>
    <w:rsid w:val="6AB73EA7"/>
    <w:rsid w:val="6B204C45"/>
    <w:rsid w:val="6C00088E"/>
    <w:rsid w:val="6C523E8D"/>
    <w:rsid w:val="6DB61995"/>
    <w:rsid w:val="6E2D5CB4"/>
    <w:rsid w:val="6E9C397D"/>
    <w:rsid w:val="6EA63AEB"/>
    <w:rsid w:val="6F2D45ED"/>
    <w:rsid w:val="71A25C7D"/>
    <w:rsid w:val="71C54D93"/>
    <w:rsid w:val="72D90C75"/>
    <w:rsid w:val="73CA65BE"/>
    <w:rsid w:val="74FE35D5"/>
    <w:rsid w:val="76A1390B"/>
    <w:rsid w:val="770F795B"/>
    <w:rsid w:val="7764070E"/>
    <w:rsid w:val="77F74673"/>
    <w:rsid w:val="784473E6"/>
    <w:rsid w:val="786461A2"/>
    <w:rsid w:val="7A0C5EA8"/>
    <w:rsid w:val="7A227999"/>
    <w:rsid w:val="7A6C3467"/>
    <w:rsid w:val="7AB1618A"/>
    <w:rsid w:val="7B7B272A"/>
    <w:rsid w:val="7B9406EB"/>
    <w:rsid w:val="7E074A3B"/>
    <w:rsid w:val="7E4470A0"/>
    <w:rsid w:val="7F2252F7"/>
    <w:rsid w:val="7F2672BD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1078</Words>
  <Characters>6145</Characters>
  <Lines>51</Lines>
  <Paragraphs>14</Paragraphs>
  <TotalTime>0</TotalTime>
  <ScaleCrop>false</ScaleCrop>
  <LinksUpToDate>false</LinksUpToDate>
  <CharactersWithSpaces>7209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2022-05-09T16:14:28Z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