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0" w:name="组织名称"/>
            <w:r>
              <w:rPr>
                <w:rFonts w:hint="eastAsia" w:ascii="宋体" w:hAnsi="宋体"/>
                <w:b/>
                <w:bCs/>
                <w:kern w:val="0"/>
                <w:szCs w:val="21"/>
                <w:u w:val="single"/>
              </w:rPr>
              <w:t>雄宇重工集团股份有限公司</w:t>
            </w:r>
            <w:bookmarkEnd w:id="0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2.7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王宁敏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 w:themeColor="text1"/>
                <w:spacing w:val="0"/>
                <w:kern w:val="2"/>
                <w:sz w:val="21"/>
                <w:szCs w:val="22"/>
                <w:lang w:val="en-US" w:eastAsia="zh-CN" w:bidi="ar-SA"/>
              </w:rPr>
              <w:t>下料→金加工→拼装→焊接→打磨→喷漆/喷塑（外包）→测试→包装→入库；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主要能源使用：电力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主要能源参数：综合能耗tce、单位产品能耗kgce/台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《中华人民共和国电力法》、《中华人民共和国节约能源法》《中华人民共和国可再生能源法》、《国家重点节能技术推广目录（1-6 批）》、《企业节能量计算方法 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instrText xml:space="preserve"> HYPERLINK "http://www.csres.com/detail/204647.html" \h </w:instrTex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GB/T 13234-201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>8》、电力变压器经济运行（GB13462-2008）、综合能耗计算通则GBT2589-2020、 用能单位能源计量器具配备与管理通则（GB/T17167-2006）等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171450</wp:posOffset>
                  </wp:positionV>
                  <wp:extent cx="640715" cy="300990"/>
                  <wp:effectExtent l="0" t="0" r="6985" b="3810"/>
                  <wp:wrapSquare wrapText="bothSides"/>
                  <wp:docPr id="1" name="图片 1" descr="0e01075ba2fecce7a326c4f9b0d1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e01075ba2fecce7a326c4f9b0d154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139700</wp:posOffset>
                  </wp:positionV>
                  <wp:extent cx="640715" cy="300990"/>
                  <wp:effectExtent l="0" t="0" r="6985" b="3810"/>
                  <wp:wrapSquare wrapText="bothSides"/>
                  <wp:docPr id="3" name="图片 3" descr="0e01075ba2fecce7a326c4f9b0d1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e01075ba2fecce7a326c4f9b0d154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2022.5.4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1" w:name="_GoBack"/>
      <w:bookmarkEnd w:id="1"/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452A06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开门大吉～ISO认证服务</cp:lastModifiedBy>
  <dcterms:modified xsi:type="dcterms:W3CDTF">2022-05-09T16:16:47Z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2052-11.1.0.11411</vt:lpwstr>
  </property>
</Properties>
</file>