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6"/>
        <w:gridCol w:w="274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成都高新区天欣路99号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成都高新区天欣路99号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王桂渝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18030682384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wang.guiyu@olymvax.com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ascii="宋体" w:hAnsi="宋体"/>
                <w:szCs w:val="21"/>
                <w:lang w:eastAsia="zh-CN"/>
              </w:rPr>
              <w:t>樊绍文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0359-2021-O-2022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O：吸附破伤风疫苗、b型流感嗜血杆菌结合疫苗的技术研发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E：吸附破伤风疫苗、b型流感嗜血杆菌结合疫苗的技术研发及相关管理活动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O：34.03.01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E：34.03.01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2022年06月09日 上午至2022年06月10日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E:34.03.01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7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2022年6月8日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2022年6月8日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2022年6月8日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EMS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持续改进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6.1应对风险和机遇的措施；6.1.4措施的策划；6.2目标及其实现的策划；7.1资源；7.4信息和沟通；9.1监视、测量、分析和评价；9.2内部审核；9.3管理评审；10.1事件、不符合和纠正措施；10.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持续改进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范围的确认，资质的确认，法律法规执行情况，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安全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事故和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投诉，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环境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监督抽查情况，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问题验证。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424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eastAsia="zh-CN"/>
              </w:rPr>
              <w:t>EMS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OHSMS：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24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eastAsia="zh-CN"/>
              </w:rPr>
              <w:t>EMS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5.3组织的角色、职责和权限；6.1.2环境因素；6.1.3合规义务；6.2目标及其达成的策划；7.2能力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OHSMS：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8.1运行策划和控制；8.2应急准备和响应；9.1监视、测量、分析和评价；9.1.2法律法规要求和其他要求的合规性评价；10.2不符合和纠正措施/OHSMS运行控制财务支出证据。</w:t>
            </w:r>
            <w:bookmarkStart w:id="36" w:name="_GoBack"/>
            <w:bookmarkEnd w:id="36"/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81D7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2833</Words>
  <Characters>4742</Characters>
  <Lines>37</Lines>
  <Paragraphs>10</Paragraphs>
  <TotalTime>1</TotalTime>
  <ScaleCrop>false</ScaleCrop>
  <LinksUpToDate>false</LinksUpToDate>
  <CharactersWithSpaces>5021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2022-06-09T02:46:49Z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