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常州市双爱家私股份有限公司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0504-2022-EnMs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武进区横林镇崔北村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张兴刚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江苏省武进区横林镇崔北村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13685228529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13685228529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286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180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2022.5.13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行政人事中心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10.1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: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1C3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2022-05-17T15:41:39Z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