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0504-2022-EnMs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常州市双爱家私股份有限公司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常州市双爱家私股份有限公司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武进区横林镇崔北村</w:t>
            </w:r>
            <w:bookmarkEnd w:id="6"/>
          </w:p>
        </w:tc>
        <w:tc>
          <w:tcPr>
            <w:tcW w:w="1242" w:type="dxa"/>
            <w:vMerge w:val="restart"/>
            <w:vAlign w:val="center"/>
          </w:tcPr>
          <w:p>
            <w:r>
              <w:rPr>
                <w:rFonts w:hint="eastAsia"/>
              </w:rPr>
              <w:t>邮编</w:t>
            </w:r>
          </w:p>
        </w:tc>
        <w:tc>
          <w:tcPr>
            <w:tcW w:w="1771" w:type="dxa"/>
          </w:tcPr>
          <w:p>
            <w:bookmarkStart w:id="7" w:name="注册邮编"/>
            <w:r>
              <w:t>213103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江苏省武进区横林镇崔北村</w:t>
            </w:r>
            <w:bookmarkEnd w:id="8"/>
          </w:p>
        </w:tc>
        <w:tc>
          <w:tcPr>
            <w:tcW w:w="1242" w:type="dxa"/>
            <w:vMerge w:val="continue"/>
            <w:vAlign w:val="center"/>
          </w:tcPr>
          <w:p/>
        </w:tc>
        <w:tc>
          <w:tcPr>
            <w:tcW w:w="1771" w:type="dxa"/>
          </w:tcPr>
          <w:p>
            <w:bookmarkStart w:id="9" w:name="办公邮编"/>
            <w:r>
              <w:t>213103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张莉</w:t>
            </w:r>
            <w:bookmarkEnd w:id="10"/>
          </w:p>
        </w:tc>
        <w:tc>
          <w:tcPr>
            <w:tcW w:w="1313" w:type="dxa"/>
            <w:vAlign w:val="center"/>
          </w:tcPr>
          <w:p>
            <w:r>
              <w:rPr>
                <w:rFonts w:hint="eastAsia"/>
              </w:rPr>
              <w:t>电话.</w:t>
            </w:r>
          </w:p>
        </w:tc>
        <w:tc>
          <w:tcPr>
            <w:tcW w:w="2180" w:type="dxa"/>
            <w:vAlign w:val="center"/>
          </w:tcPr>
          <w:p>
            <w:bookmarkStart w:id="11" w:name="联系人电话"/>
            <w:r>
              <w:t>13685228529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张兴刚</w:t>
            </w:r>
            <w:bookmarkEnd w:id="13"/>
          </w:p>
        </w:tc>
        <w:tc>
          <w:tcPr>
            <w:tcW w:w="1313" w:type="dxa"/>
            <w:vAlign w:val="center"/>
          </w:tcPr>
          <w:p>
            <w:r>
              <w:rPr>
                <w:rFonts w:hint="eastAsia"/>
              </w:rPr>
              <w:t>管理者代表</w:t>
            </w:r>
          </w:p>
        </w:tc>
        <w:tc>
          <w:tcPr>
            <w:tcW w:w="2180" w:type="dxa"/>
          </w:tcPr>
          <w:p>
            <w:bookmarkStart w:id="14" w:name="管理者代表"/>
            <w:r>
              <w:t>张莉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0"/>
              </w:tabs>
              <w:rPr>
                <w:rFonts w:hint="eastAsia" w:ascii="宋体" w:hAnsi="宋体" w:eastAsia="宋体"/>
                <w:color w:val="000000"/>
                <w:szCs w:val="21"/>
                <w:lang w:val="en-US" w:eastAsia="zh-CN"/>
              </w:rPr>
            </w:pPr>
            <w:r>
              <w:rPr>
                <w:rFonts w:hint="eastAsia" w:ascii="宋体" w:hAnsi="宋体" w:eastAsia="宋体"/>
                <w:color w:val="000000"/>
                <w:szCs w:val="21"/>
                <w:lang w:val="en-US" w:eastAsia="zh-CN"/>
              </w:rPr>
              <w:t>木工:木板开料→打磨→吸塑→成品检验→包装→入库;</w:t>
            </w:r>
          </w:p>
          <w:p>
            <w:r>
              <w:rPr>
                <w:rFonts w:hint="eastAsia" w:ascii="宋体" w:hAnsi="宋体" w:eastAsia="宋体"/>
                <w:color w:val="000000"/>
                <w:szCs w:val="21"/>
                <w:lang w:val="en-US" w:eastAsia="zh-CN"/>
              </w:rPr>
              <w:t>金工：金工断料→焊接→打磨→喷塑→检验→包装→入库；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2022年05月16日 上午至2022年05月18日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河北省石家庄市/深圳市/江苏省无锡市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办公家具生产所涉及的能源管理活动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79"/>
        <w:gridCol w:w="1159"/>
        <w:gridCol w:w="1671"/>
        <w:gridCol w:w="18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679" w:type="dxa"/>
            <w:shd w:val="clear" w:color="auto" w:fill="F3F3F3"/>
            <w:tcMar>
              <w:left w:w="57" w:type="dxa"/>
              <w:right w:w="57" w:type="dxa"/>
            </w:tcMar>
          </w:tcPr>
          <w:p>
            <w:r>
              <w:rPr>
                <w:rFonts w:hint="eastAsia"/>
              </w:rPr>
              <w:t>经营场所的地址</w:t>
            </w:r>
          </w:p>
          <w:p>
            <w:r>
              <w:rPr>
                <w:rFonts w:hint="eastAsia"/>
              </w:rPr>
              <w:t>（多现场和临时现场）</w:t>
            </w:r>
          </w:p>
        </w:tc>
        <w:tc>
          <w:tcPr>
            <w:tcW w:w="1159" w:type="dxa"/>
            <w:shd w:val="clear" w:color="auto" w:fill="F3F3F3"/>
            <w:tcMar>
              <w:left w:w="57" w:type="dxa"/>
              <w:right w:w="57" w:type="dxa"/>
            </w:tcMar>
          </w:tcPr>
          <w:p>
            <w:r>
              <w:rPr>
                <w:rFonts w:hint="eastAsia"/>
              </w:rPr>
              <w:t>员工人数</w:t>
            </w:r>
          </w:p>
        </w:tc>
        <w:tc>
          <w:tcPr>
            <w:tcW w:w="1671"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8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default" w:ascii="Times New Roman" w:hAnsi="Times New Roman" w:eastAsia="黑体" w:cs="Times New Roman"/>
                <w:kern w:val="2"/>
                <w:sz w:val="21"/>
                <w:szCs w:val="21"/>
                <w:lang w:val="de-DE" w:eastAsia="ja-JP" w:bidi="ar-SA"/>
              </w:rPr>
            </w:pPr>
            <w:r>
              <w:rPr>
                <w:rFonts w:ascii="Times New Roman" w:hAnsi="Times New Roman" w:eastAsia="Times New Roman" w:cs="Times New Roman"/>
                <w:kern w:val="2"/>
                <w:sz w:val="20"/>
                <w:szCs w:val="20"/>
                <w:lang w:val="en-GB" w:eastAsia="de-DE" w:bidi="ar-SA"/>
              </w:rPr>
              <w:t>常州市双爱家私股份有限公司/武进区横林镇崔北村</w:t>
            </w:r>
          </w:p>
        </w:tc>
        <w:tc>
          <w:tcPr>
            <w:tcW w:w="1679" w:type="dxa"/>
            <w:vAlign w:val="top"/>
          </w:tcPr>
          <w:p>
            <w:pPr>
              <w:spacing w:before="40" w:after="40"/>
              <w:rPr>
                <w:rFonts w:ascii="Times New Roman" w:hAnsi="Times New Roman" w:eastAsia="黑体" w:cs="Times New Roman"/>
                <w:kern w:val="2"/>
                <w:sz w:val="21"/>
                <w:szCs w:val="21"/>
                <w:lang w:val="de-DE" w:eastAsia="ja-JP" w:bidi="ar-SA"/>
              </w:rPr>
            </w:pPr>
            <w:r>
              <w:rPr>
                <w:rFonts w:ascii="Times New Roman" w:hAnsi="Times New Roman" w:eastAsia="Times New Roman" w:cs="Times New Roman"/>
                <w:kern w:val="2"/>
                <w:sz w:val="20"/>
                <w:szCs w:val="20"/>
                <w:lang w:val="en-GB" w:eastAsia="de-DE" w:bidi="ar-SA"/>
              </w:rPr>
              <w:t>江苏省武进区横林镇崔北村</w:t>
            </w:r>
          </w:p>
        </w:tc>
        <w:tc>
          <w:tcPr>
            <w:tcW w:w="115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en-US" w:eastAsia="zh-CN" w:bidi="ar-SA"/>
              </w:rPr>
              <w:t>286人其中能源体系180</w:t>
            </w:r>
          </w:p>
        </w:tc>
        <w:tc>
          <w:tcPr>
            <w:tcW w:w="1671" w:type="dxa"/>
            <w:vAlign w:val="center"/>
          </w:tcPr>
          <w:p>
            <w:pPr>
              <w:pStyle w:val="22"/>
              <w:rPr>
                <w:rFonts w:ascii="Times New Roman" w:hAnsi="Times New Roman" w:eastAsia="黑体" w:cs="Arial"/>
                <w:kern w:val="2"/>
                <w:sz w:val="21"/>
                <w:szCs w:val="21"/>
                <w:lang w:val="en-US" w:eastAsia="ja-JP" w:bidi="ar-SA"/>
              </w:rPr>
            </w:pPr>
            <w:r>
              <w:t>办公家具生产所涉及的能源管理活动</w:t>
            </w:r>
          </w:p>
        </w:tc>
        <w:tc>
          <w:tcPr>
            <w:tcW w:w="180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GB/T23331-2020</w:t>
            </w:r>
          </w:p>
        </w:tc>
        <w:tc>
          <w:tcPr>
            <w:tcW w:w="668" w:type="dxa"/>
            <w:shd w:val="clear" w:color="auto" w:fill="FFFFFF"/>
            <w:vAlign w:val="top"/>
          </w:tcPr>
          <w:sdt>
            <w:sdtPr>
              <w:rPr>
                <w:rFonts w:hint="eastAsia" w:ascii="宋体" w:hAnsi="宋体" w:eastAsia="宋体" w:cs="宋体"/>
                <w:szCs w:val="21"/>
              </w:rPr>
              <w:id w:val="271604670"/>
            </w:sdtPr>
            <w:sdtEndPr>
              <w:rPr>
                <w:rFonts w:hint="eastAsia" w:ascii="宋体" w:hAnsi="宋体" w:eastAsia="黑体" w:cs="宋体"/>
                <w:szCs w:val="21"/>
              </w:rPr>
            </w:sdtEndPr>
            <w:sdtContent>
              <w:p>
                <w:pPr>
                  <w:rPr>
                    <w:rFonts w:hint="eastAsia" w:ascii="宋体" w:hAnsi="宋体" w:eastAsia="黑体" w:cs="宋体"/>
                    <w:szCs w:val="21"/>
                  </w:rPr>
                </w:pPr>
                <w:r>
                  <w:rPr>
                    <w:rFonts w:eastAsia="黑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679" w:type="dxa"/>
            <w:vAlign w:val="center"/>
          </w:tcPr>
          <w:p>
            <w:pPr>
              <w:rPr>
                <w:lang w:eastAsia="ja-JP"/>
              </w:rPr>
            </w:pPr>
          </w:p>
        </w:tc>
        <w:tc>
          <w:tcPr>
            <w:tcW w:w="1159" w:type="dxa"/>
            <w:vAlign w:val="center"/>
          </w:tcPr>
          <w:p>
            <w:pPr>
              <w:rPr>
                <w:lang w:eastAsia="ja-JP"/>
              </w:rPr>
            </w:pPr>
          </w:p>
        </w:tc>
        <w:tc>
          <w:tcPr>
            <w:tcW w:w="1671" w:type="dxa"/>
            <w:vAlign w:val="center"/>
          </w:tcPr>
          <w:p>
            <w:pPr>
              <w:rPr>
                <w:lang w:eastAsia="ja-JP"/>
              </w:rPr>
            </w:pPr>
          </w:p>
        </w:tc>
        <w:tc>
          <w:tcPr>
            <w:tcW w:w="18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679" w:type="dxa"/>
            <w:vAlign w:val="center"/>
          </w:tcPr>
          <w:p>
            <w:pPr>
              <w:rPr>
                <w:lang w:eastAsia="ja-JP"/>
              </w:rPr>
            </w:pPr>
          </w:p>
        </w:tc>
        <w:tc>
          <w:tcPr>
            <w:tcW w:w="1159" w:type="dxa"/>
            <w:vAlign w:val="center"/>
          </w:tcPr>
          <w:p>
            <w:pPr>
              <w:rPr>
                <w:lang w:eastAsia="ja-JP"/>
              </w:rPr>
            </w:pPr>
          </w:p>
        </w:tc>
        <w:tc>
          <w:tcPr>
            <w:tcW w:w="1671" w:type="dxa"/>
            <w:vAlign w:val="center"/>
          </w:tcPr>
          <w:p>
            <w:pPr>
              <w:rPr>
                <w:lang w:eastAsia="ja-JP"/>
              </w:rPr>
            </w:pPr>
          </w:p>
        </w:tc>
        <w:tc>
          <w:tcPr>
            <w:tcW w:w="18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679" w:type="dxa"/>
            <w:vAlign w:val="center"/>
          </w:tcPr>
          <w:p>
            <w:pPr>
              <w:rPr>
                <w:lang w:eastAsia="ja-JP"/>
              </w:rPr>
            </w:pPr>
          </w:p>
        </w:tc>
        <w:tc>
          <w:tcPr>
            <w:tcW w:w="1159" w:type="dxa"/>
            <w:vAlign w:val="center"/>
          </w:tcPr>
          <w:p>
            <w:pPr>
              <w:rPr>
                <w:lang w:eastAsia="ja-JP"/>
              </w:rPr>
            </w:pPr>
          </w:p>
        </w:tc>
        <w:tc>
          <w:tcPr>
            <w:tcW w:w="1671" w:type="dxa"/>
            <w:vAlign w:val="center"/>
          </w:tcPr>
          <w:p>
            <w:pPr>
              <w:rPr>
                <w:lang w:eastAsia="ja-JP"/>
              </w:rPr>
            </w:pPr>
          </w:p>
        </w:tc>
        <w:tc>
          <w:tcPr>
            <w:tcW w:w="18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679" w:type="dxa"/>
            <w:vAlign w:val="center"/>
          </w:tcPr>
          <w:p>
            <w:pPr>
              <w:rPr>
                <w:lang w:eastAsia="ja-JP"/>
              </w:rPr>
            </w:pPr>
          </w:p>
        </w:tc>
        <w:tc>
          <w:tcPr>
            <w:tcW w:w="1159" w:type="dxa"/>
            <w:vAlign w:val="center"/>
          </w:tcPr>
          <w:p>
            <w:pPr>
              <w:rPr>
                <w:lang w:eastAsia="ja-JP"/>
              </w:rPr>
            </w:pPr>
          </w:p>
        </w:tc>
        <w:tc>
          <w:tcPr>
            <w:tcW w:w="1671" w:type="dxa"/>
            <w:vAlign w:val="center"/>
          </w:tcPr>
          <w:p>
            <w:pPr>
              <w:rPr>
                <w:lang w:eastAsia="ja-JP"/>
              </w:rPr>
            </w:pPr>
          </w:p>
        </w:tc>
        <w:tc>
          <w:tcPr>
            <w:tcW w:w="180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马佳</w:t>
            </w:r>
          </w:p>
        </w:tc>
        <w:tc>
          <w:tcPr>
            <w:tcW w:w="1089" w:type="dxa"/>
            <w:vAlign w:val="center"/>
          </w:tcPr>
          <w:p>
            <w:r>
              <w:t>组员</w:t>
            </w:r>
          </w:p>
        </w:tc>
        <w:tc>
          <w:tcPr>
            <w:tcW w:w="711" w:type="dxa"/>
            <w:vAlign w:val="center"/>
          </w:tcPr>
          <w:p>
            <w:r>
              <w:t>女</w:t>
            </w:r>
          </w:p>
        </w:tc>
        <w:tc>
          <w:tcPr>
            <w:tcW w:w="3870" w:type="dxa"/>
            <w:vAlign w:val="center"/>
          </w:tcPr>
          <w:p>
            <w:r>
              <w:t>2020-N1EnMS-2061499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奚敏水</w:t>
            </w:r>
          </w:p>
        </w:tc>
        <w:tc>
          <w:tcPr>
            <w:tcW w:w="1089" w:type="dxa"/>
            <w:vAlign w:val="center"/>
          </w:tcPr>
          <w:p>
            <w:r>
              <w:t>组员</w:t>
            </w:r>
          </w:p>
        </w:tc>
        <w:tc>
          <w:tcPr>
            <w:tcW w:w="711" w:type="dxa"/>
            <w:vAlign w:val="center"/>
          </w:tcPr>
          <w:p>
            <w:r>
              <w:t>男</w:t>
            </w:r>
          </w:p>
        </w:tc>
        <w:tc>
          <w:tcPr>
            <w:tcW w:w="3870" w:type="dxa"/>
            <w:vAlign w:val="center"/>
          </w:tcPr>
          <w:p>
            <w:r>
              <w:t>ISC-JSZJ-518</w:t>
            </w:r>
          </w:p>
          <w:p>
            <w:r>
              <w:t>无锡朗盛环境安全技术有限公司</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6432" behindDoc="0" locked="0" layoutInCell="1" allowOverlap="1">
                  <wp:simplePos x="0" y="0"/>
                  <wp:positionH relativeFrom="column">
                    <wp:posOffset>227965</wp:posOffset>
                  </wp:positionH>
                  <wp:positionV relativeFrom="paragraph">
                    <wp:posOffset>6951980</wp:posOffset>
                  </wp:positionV>
                  <wp:extent cx="772795" cy="324485"/>
                  <wp:effectExtent l="0" t="0" r="0" b="5080"/>
                  <wp:wrapSquare wrapText="bothSides"/>
                  <wp:docPr id="5"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李丽英电子签"/>
                          <pic:cNvPicPr>
                            <a:picLocks noChangeAspect="1"/>
                          </pic:cNvPicPr>
                        </pic:nvPicPr>
                        <pic:blipFill>
                          <a:blip r:embed="rId6"/>
                          <a:stretch>
                            <a:fillRect/>
                          </a:stretch>
                        </pic:blipFill>
                        <pic:spPr>
                          <a:xfrm>
                            <a:off x="0" y="0"/>
                            <a:ext cx="772795" cy="32448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行政人事中心   </w:t>
            </w:r>
            <w:r>
              <w:rPr>
                <w:rFonts w:hint="eastAsia"/>
              </w:rPr>
              <w:sym w:font="Wingdings 2" w:char="0052"/>
            </w:r>
            <w:r>
              <w:rPr>
                <w:rFonts w:hint="eastAsia"/>
              </w:rPr>
              <w:t>能源管理团队</w:t>
            </w:r>
            <w:r>
              <w:rPr>
                <w:rFonts w:hint="eastAsia"/>
                <w:lang w:eastAsia="zh-CN"/>
              </w:rPr>
              <w:t>——</w:t>
            </w:r>
            <w:r>
              <w:rPr>
                <w:rFonts w:hint="eastAsia"/>
                <w:lang w:val="en-US" w:eastAsia="zh-CN"/>
              </w:rPr>
              <w:t>生产制造中心</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52"/>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2022.1.10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589"/>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589"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31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 xml:space="preserve">2021年综合能耗 </w:t>
                  </w:r>
                </w:p>
                <w:p>
                  <w:pP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880tce</w:t>
                  </w:r>
                </w:p>
              </w:tc>
              <w:tc>
                <w:tcPr>
                  <w:tcW w:w="2354"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color w:val="auto"/>
                      <w:szCs w:val="24"/>
                      <w:highlight w:val="none"/>
                      <w:lang w:val="en-US" w:eastAsia="zh-CN"/>
                    </w:rPr>
                    <w:t>加强用能管理，对主要耗能设备定期进行能先测试</w:t>
                  </w:r>
                </w:p>
              </w:tc>
              <w:tc>
                <w:tcPr>
                  <w:tcW w:w="1589"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行政人事中心/设备安全中心</w:t>
                  </w:r>
                </w:p>
              </w:tc>
              <w:tc>
                <w:tcPr>
                  <w:tcW w:w="2317" w:type="dxa"/>
                  <w:shd w:val="clear" w:color="auto" w:fill="auto"/>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未完成</w:t>
                  </w:r>
                </w:p>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2021实际完成1004.940</w:t>
                  </w:r>
                  <w:r>
                    <w:rPr>
                      <w:rFonts w:hint="eastAsia" w:ascii="Times New Roman" w:hAnsi="Times New Roman" w:eastAsia="宋体" w:cs="Times New Roman"/>
                      <w:color w:val="auto"/>
                      <w:szCs w:val="24"/>
                      <w:highlight w:val="none"/>
                      <w:lang w:val="en-US" w:eastAsia="zh-CN"/>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2021年单位产品综合能耗0.67 kgce/台</w:t>
                  </w:r>
                </w:p>
              </w:tc>
              <w:tc>
                <w:tcPr>
                  <w:tcW w:w="2354"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color w:val="auto"/>
                      <w:szCs w:val="24"/>
                      <w:highlight w:val="none"/>
                      <w:lang w:val="en-US" w:eastAsia="zh-CN"/>
                    </w:rPr>
                    <w:t>增加产量，提高效率，提高产品合格率</w:t>
                  </w:r>
                </w:p>
              </w:tc>
              <w:tc>
                <w:tcPr>
                  <w:tcW w:w="1589"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生产制造中心</w:t>
                  </w:r>
                </w:p>
              </w:tc>
              <w:tc>
                <w:tcPr>
                  <w:tcW w:w="2317" w:type="dxa"/>
                  <w:shd w:val="clear" w:color="auto" w:fill="auto"/>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未完成</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2021实际完成0.77</w:t>
                  </w:r>
                  <w:r>
                    <w:rPr>
                      <w:rFonts w:hint="eastAsia" w:ascii="Times New Roman" w:hAnsi="Times New Roman" w:eastAsia="宋体" w:cs="Times New Roman"/>
                      <w:color w:val="auto"/>
                      <w:szCs w:val="24"/>
                      <w:highlight w:val="none"/>
                      <w:lang w:val="en-US" w:eastAsia="zh-CN"/>
                    </w:rPr>
                    <w:t xml:space="preserve"> kgce/台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2021年单位产值综合能耗 34 kgce/万元</w:t>
                  </w:r>
                </w:p>
              </w:tc>
              <w:tc>
                <w:tcPr>
                  <w:tcW w:w="2354" w:type="dxa"/>
                  <w:shd w:val="clear" w:color="auto" w:fill="auto"/>
                  <w:vAlign w:val="center"/>
                </w:tcPr>
                <w:p>
                  <w:pPr>
                    <w:rPr>
                      <w:rFonts w:ascii="宋体" w:hAnsi="宋体"/>
                    </w:rPr>
                  </w:pPr>
                  <w:r>
                    <w:rPr>
                      <w:rFonts w:hint="eastAsia" w:ascii="宋体" w:hAnsi="宋体"/>
                      <w:color w:val="auto"/>
                      <w:szCs w:val="24"/>
                      <w:highlight w:val="none"/>
                      <w:lang w:val="en-US" w:eastAsia="zh-CN"/>
                    </w:rPr>
                    <w:t>增加产量，提高效率，提高产品合格率</w:t>
                  </w:r>
                </w:p>
              </w:tc>
              <w:tc>
                <w:tcPr>
                  <w:tcW w:w="1589"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财务审计中心</w:t>
                  </w:r>
                </w:p>
              </w:tc>
              <w:tc>
                <w:tcPr>
                  <w:tcW w:w="2317" w:type="dxa"/>
                  <w:shd w:val="clear" w:color="auto" w:fill="auto"/>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未完成</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2021实际完成37.82</w:t>
                  </w:r>
                  <w:r>
                    <w:rPr>
                      <w:rFonts w:hint="eastAsia" w:ascii="Times New Roman" w:hAnsi="Times New Roman" w:eastAsia="宋体" w:cs="Times New Roman"/>
                      <w:color w:val="auto"/>
                      <w:szCs w:val="24"/>
                      <w:highlight w:val="none"/>
                      <w:lang w:val="en-US" w:eastAsia="zh-CN"/>
                    </w:rPr>
                    <w:t xml:space="preserve"> kgce/万元</w:t>
                  </w:r>
                  <w:r>
                    <w:rPr>
                      <w:rFonts w:hint="eastAsia" w:ascii="Times New Roman" w:hAnsi="Times New Roman" w:eastAsia="宋体" w:cs="Times New Roman"/>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354" w:type="dxa"/>
                  <w:shd w:val="clear" w:color="auto" w:fill="auto"/>
                  <w:vAlign w:val="center"/>
                </w:tcPr>
                <w:p>
                  <w:pPr>
                    <w:shd w:val="clear" w:color="auto" w:fill="EBF1DE" w:themeFill="accent3" w:themeFillTint="32"/>
                    <w:rPr>
                      <w:rFonts w:ascii="宋体" w:hAnsi="宋体"/>
                    </w:rPr>
                  </w:pPr>
                </w:p>
              </w:tc>
              <w:tc>
                <w:tcPr>
                  <w:tcW w:w="1589" w:type="dxa"/>
                  <w:shd w:val="clear" w:color="auto" w:fill="auto"/>
                  <w:vAlign w:val="center"/>
                </w:tcPr>
                <w:p>
                  <w:pPr>
                    <w:shd w:val="clear" w:color="auto" w:fill="EBF1DE" w:themeFill="accent3" w:themeFillTint="32"/>
                    <w:rPr>
                      <w:rFonts w:ascii="宋体" w:hAnsi="宋体"/>
                    </w:rPr>
                  </w:pPr>
                </w:p>
              </w:tc>
              <w:tc>
                <w:tcPr>
                  <w:tcW w:w="2317"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354" w:type="dxa"/>
                  <w:shd w:val="clear" w:color="auto" w:fill="auto"/>
                  <w:vAlign w:val="center"/>
                </w:tcPr>
                <w:p>
                  <w:pPr>
                    <w:shd w:val="clear" w:color="auto" w:fill="EBF1DE" w:themeFill="accent3" w:themeFillTint="32"/>
                    <w:rPr>
                      <w:rFonts w:ascii="宋体" w:hAnsi="宋体"/>
                    </w:rPr>
                  </w:pPr>
                </w:p>
              </w:tc>
              <w:tc>
                <w:tcPr>
                  <w:tcW w:w="1589" w:type="dxa"/>
                  <w:shd w:val="clear" w:color="auto" w:fill="auto"/>
                  <w:vAlign w:val="center"/>
                </w:tcPr>
                <w:p>
                  <w:pPr>
                    <w:shd w:val="clear" w:color="auto" w:fill="EBF1DE" w:themeFill="accent3" w:themeFillTint="32"/>
                    <w:rPr>
                      <w:rFonts w:ascii="宋体" w:hAnsi="宋体"/>
                    </w:rPr>
                  </w:pPr>
                </w:p>
              </w:tc>
              <w:tc>
                <w:tcPr>
                  <w:tcW w:w="2317"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A3"/>
            </w:r>
            <w:r>
              <w:rPr>
                <w:rFonts w:hint="eastAsia"/>
              </w:rPr>
              <w:t>目标已实现</w:t>
            </w:r>
          </w:p>
          <w:p>
            <w:pPr>
              <w:shd w:val="clear" w:color="auto" w:fill="EBF1DE" w:themeFill="accent3" w:themeFillTint="32"/>
            </w:pPr>
            <w:r>
              <w:rPr>
                <w:rFonts w:hint="eastAsia" w:ascii="Wingdings" w:hAnsi="Wingdings"/>
                <w:lang w:eastAsia="zh-CN"/>
              </w:rPr>
              <w:sym w:font="Wingdings 2" w:char="0052"/>
            </w:r>
            <w:r>
              <w:rPr>
                <w:rFonts w:hint="eastAsia"/>
              </w:rPr>
              <w:t>目标没有实现，组织在内部</w:t>
            </w:r>
            <w:r>
              <w:rPr>
                <w:rFonts w:hint="eastAsia"/>
                <w:lang w:val="en-US" w:eastAsia="zh-CN"/>
              </w:rPr>
              <w:t>未</w:t>
            </w:r>
            <w:r>
              <w:rPr>
                <w:rFonts w:hint="eastAsia"/>
              </w:rPr>
              <w:t>进行原因分析</w:t>
            </w:r>
            <w:r>
              <w:rPr>
                <w:rFonts w:hint="eastAsia"/>
                <w:lang w:eastAsia="zh-CN"/>
              </w:rPr>
              <w:t>，</w:t>
            </w:r>
            <w:r>
              <w:rPr>
                <w:rFonts w:hint="eastAsia"/>
                <w:lang w:val="en-US" w:eastAsia="zh-CN"/>
              </w:rPr>
              <w:t>以出具不符合报告，要求整改</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eastAsia="zh-CN"/>
              </w:rPr>
              <w:t>——</w:t>
            </w:r>
            <w:r>
              <w:rPr>
                <w:rFonts w:hint="eastAsia"/>
              </w:rPr>
              <w:t>个；</w:t>
            </w:r>
          </w:p>
          <w:p>
            <w:pPr>
              <w:shd w:val="clear" w:color="auto" w:fill="EBF1DE" w:themeFill="accent3" w:themeFillTint="32"/>
              <w:rPr>
                <w:u w:val="single"/>
              </w:rPr>
            </w:pPr>
            <w:r>
              <w:rPr>
                <w:rFonts w:hint="eastAsia"/>
              </w:rPr>
              <w:t>主要生产设备有：</w:t>
            </w:r>
            <w:r>
              <w:rPr>
                <w:rFonts w:hint="eastAsia"/>
                <w:color w:val="000000"/>
                <w:szCs w:val="22"/>
                <w:u w:val="single"/>
              </w:rPr>
              <w:t>半自动裁板机、全自动封边机、多孔位排</w:t>
            </w:r>
            <w:r>
              <w:rPr>
                <w:rFonts w:hint="eastAsia"/>
                <w:color w:val="000000"/>
                <w:szCs w:val="22"/>
                <w:u w:val="single"/>
                <w:lang w:val="en-US" w:eastAsia="zh-CN"/>
              </w:rPr>
              <w:t>钻</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000000"/>
                <w:szCs w:val="22"/>
                <w:u w:val="single"/>
              </w:rPr>
              <w:t>半自动裁板机、</w:t>
            </w:r>
            <w:r>
              <w:rPr>
                <w:rFonts w:hint="eastAsia"/>
                <w:color w:val="000000"/>
                <w:szCs w:val="22"/>
                <w:u w:val="single"/>
                <w:lang w:val="en-US" w:eastAsia="zh-CN"/>
              </w:rPr>
              <w:t>空压机、烘干固化热风炉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天然气流量计、电表、水表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color w:val="0000FF"/>
              </w:rPr>
              <w:t>未进行定期校准/检定的有：</w:t>
            </w:r>
            <w:r>
              <w:rPr>
                <w:rFonts w:hint="eastAsia"/>
                <w:color w:val="0000FF"/>
                <w:lang w:val="en-US" w:eastAsia="zh-CN"/>
              </w:rPr>
              <w:t>新奥燃气、电力公司、供水公司提供的流量计，企业介绍电表水表天然气</w:t>
            </w:r>
            <w:bookmarkStart w:id="31" w:name="_GoBack"/>
            <w:bookmarkEnd w:id="31"/>
            <w:r>
              <w:rPr>
                <w:rFonts w:hint="eastAsia"/>
                <w:color w:val="0000FF"/>
                <w:lang w:val="en-US" w:eastAsia="zh-CN"/>
              </w:rPr>
              <w:t>都是上了铅锁的，企业是不可以随便打开的</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w w:val="95"/>
                <w:u w:val="single"/>
              </w:rPr>
              <w:t>带翻转功能的儿童桌的研发</w:t>
            </w:r>
            <w:r>
              <w:rPr>
                <w:rFonts w:hint="eastAsia"/>
                <w:u w:val="single"/>
              </w:rPr>
              <w:t>（</w:t>
            </w:r>
            <w:r>
              <w:rPr>
                <w:rFonts w:hint="eastAsia"/>
              </w:rPr>
              <w:t>举1例）</w:t>
            </w:r>
          </w:p>
          <w:p>
            <w:pPr>
              <w:shd w:val="clear" w:color="auto" w:fill="EBF1DE" w:themeFill="accent3" w:themeFillTint="32"/>
            </w:pPr>
            <w:r>
              <w:rPr>
                <w:rFonts w:hint="eastAsia"/>
              </w:rPr>
              <w:t>对该设计和开发的项目</w:t>
            </w:r>
            <w:r>
              <w:rPr>
                <w:rFonts w:hint="eastAsia"/>
                <w:lang w:val="en-US" w:eastAsia="zh-CN"/>
              </w:rPr>
              <w:t>不需要</w:t>
            </w:r>
            <w:r>
              <w:rPr>
                <w:rFonts w:hint="eastAsia"/>
              </w:rPr>
              <w:t>节能评估。</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加强炉子热效率的测试和管理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目前尚未开展能效测试，已与企业进行沟通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hint="default" w:eastAsia="宋体"/>
                <w:lang w:val="en-US" w:eastAsia="zh-CN"/>
              </w:rPr>
            </w:pPr>
            <w:r>
              <w:rPr>
                <w:rFonts w:hint="eastAsia"/>
              </w:rPr>
              <w:t>对生产和服务提供过程的节能改进措施控制</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对炉子的热效率考虑测试。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企业无主要用能设备，目前未开展能效测试</w:t>
            </w:r>
          </w:p>
          <w:p>
            <w:pPr>
              <w:shd w:val="clear" w:color="auto" w:fill="EBF1DE" w:themeFill="accent3" w:themeFillTint="32"/>
            </w:pPr>
            <w:r>
              <w:rPr>
                <w:rFonts w:hint="eastAsia"/>
              </w:rPr>
              <w:t>达标评价：</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3-4</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1595540"/>
    <w:rsid w:val="44E93AD7"/>
    <w:rsid w:val="463C00E1"/>
    <w:rsid w:val="6F7A2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12</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2022-05-18T06:50:18Z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