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  <w:lang w:val="en-US" w:eastAsia="zh-CN"/>
              </w:rPr>
              <w:t>常州市双爱</w:t>
            </w:r>
            <w:r>
              <w:rPr>
                <w:sz w:val="21"/>
                <w:szCs w:val="21"/>
              </w:rPr>
              <w:t>家具有限公司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奚敏水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木工:木板开料→打磨→吸塑→成品检验→包装→入库;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Cambria" w:hAnsi="Cambria"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金工：金工断料→焊接→打磨→喷塑→检验→包装→入库；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主要能源使用：电力、天然气、汽油、柴油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主要能源绩效参数：综合能耗tce;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单位产</w:t>
            </w:r>
            <w:r>
              <w:rPr>
                <w:rFonts w:hint="eastAsia" w:eastAsia="宋体"/>
                <w:b/>
                <w:color w:val="auto"/>
                <w:sz w:val="20"/>
                <w:szCs w:val="22"/>
                <w:lang w:val="en-US" w:eastAsia="zh-CN"/>
              </w:rPr>
              <w:t>品综合能耗kgtce/套；万元产值综合能耗kgtce/万元；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spacing w:before="181"/>
              <w:ind w:left="0" w:leftChars="0" w:firstLine="0" w:firstLineChars="0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《中华人民共和国电力法》、《中华人民共和国节约能源法》《中华人民共和国可再生能源法》、《国家重点节能技术推广目录（1-6 批）》、《企业节能量计算方法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8》、电力变压器经济运行（GB13462-2008）、综合能耗计算通则GBT2589-2020、 用能单位能源计量器具配备与管理通则（GB/T17167-2006）等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有关专业知识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2540</wp:posOffset>
                  </wp:positionV>
                  <wp:extent cx="615315" cy="365760"/>
                  <wp:effectExtent l="0" t="0" r="6985" b="2540"/>
                  <wp:wrapSquare wrapText="bothSides"/>
                  <wp:docPr id="3" name="图片 1" descr="2f54b704c7527a1a46ef16fba640f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2f54b704c7527a1a46ef16fba640fc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21611AE"/>
    <w:rsid w:val="724A7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2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2022-05-17T16:12:54Z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