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技术质量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曹勇杰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闫高强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本部门的职责权限为：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1)对产品的质量予以监督，协调部门间的工作；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2）负责公司监视测量的管理工作；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3）负责质量的相关事宜；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4）负责不合格品的管理工作；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5）负责监视和测量设备的控制。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6）负责原料、成品的监视和测量工作。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7）负责检验过程中的质量、环境的控制和实施。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经询问，部门负责人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姜宝云</w:t>
            </w:r>
            <w:r>
              <w:rPr>
                <w:rFonts w:hint="eastAsia" w:ascii="宋体" w:hAnsi="宋体" w:eastAsia="宋体" w:cs="宋体"/>
                <w:szCs w:val="24"/>
              </w:rPr>
              <w:t>对其职责和权限基本清楚。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5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固体废弃物有效处置率</w:t>
            </w:r>
            <w:r>
              <w:rPr>
                <w:rFonts w:ascii="宋体" w:hAnsi="宋体" w:cs="Arial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考核情况：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经2019.7.30、2019.9.30日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QP/DXDZ</w:t>
            </w:r>
            <w:r>
              <w:rPr>
                <w:rFonts w:ascii="宋体" w:hAnsi="宋体"/>
                <w:szCs w:val="21"/>
              </w:rPr>
              <w:t>-2019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本部门涉及的环境因素主要是检验过程产生的固体废弃物，检验所产生的固体垃圾不排放，回收后再利用。产生的办公垃圾，分类处理，如：办公废纸等，交由</w:t>
            </w:r>
            <w:r>
              <w:rPr>
                <w:rFonts w:hint="eastAsia" w:cs="宋体"/>
                <w:bCs/>
                <w:lang w:val="en-US" w:eastAsia="zh-CN"/>
              </w:rPr>
              <w:t>综合管理</w:t>
            </w:r>
            <w:r>
              <w:rPr>
                <w:rFonts w:hint="eastAsia" w:ascii="宋体" w:hAnsi="宋体" w:eastAsia="宋体" w:cs="宋体"/>
                <w:bCs/>
              </w:rPr>
              <w:t>部统一处理，不可回收的投入公司垃圾箱内，如：打扫卫生产生的垃圾等，由</w:t>
            </w:r>
            <w:r>
              <w:rPr>
                <w:rFonts w:hint="eastAsia" w:cs="宋体"/>
                <w:bCs/>
                <w:lang w:val="en-US" w:eastAsia="zh-CN"/>
              </w:rPr>
              <w:t>综合管理</w:t>
            </w:r>
            <w:r>
              <w:rPr>
                <w:rFonts w:hint="eastAsia" w:ascii="宋体" w:hAnsi="宋体" w:eastAsia="宋体" w:cs="宋体"/>
                <w:bCs/>
              </w:rPr>
              <w:t>部统一联系环卫部门处理。检验过程中使用的电力资源，要求检验人员尽量做到节约用电。检测合格产品放行，不合格品交生产部处理利用。遵守公司的各项有关环保制度。产品检验时使用工具主要为：卡尺和钢卷尺等，到车间现场检验时穿戴劳动防护用品，确保安全。遵守公司的各项有关</w:t>
            </w:r>
            <w:r>
              <w:rPr>
                <w:rFonts w:hint="eastAsia" w:cs="宋体"/>
                <w:bCs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</w:rPr>
              <w:t>的制度。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cs="宋体"/>
                <w:bCs/>
                <w:lang w:val="en-US" w:eastAsia="zh-CN"/>
              </w:rPr>
              <w:t>提供了测量设备检定/校准证书，符合要求。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部门运行控制基本符合规定要求。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楷体"/>
                <w:szCs w:val="21"/>
                <w:lang w:val="en-US" w:eastAsia="zh-CN"/>
              </w:rPr>
              <w:t>生产部赵利峰</w:t>
            </w:r>
            <w:r>
              <w:rPr>
                <w:rFonts w:hint="eastAsia" w:ascii="宋体" w:hAnsi="宋体" w:cs="楷体"/>
                <w:szCs w:val="21"/>
              </w:rPr>
              <w:t>每月巡查消防设施管理和线路安全情况，查见</w:t>
            </w:r>
            <w:r>
              <w:rPr>
                <w:rFonts w:ascii="宋体" w:hAnsi="宋体" w:cs="楷体"/>
                <w:szCs w:val="21"/>
              </w:rPr>
              <w:t>2019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楷体"/>
                <w:szCs w:val="21"/>
              </w:rPr>
              <w:t>月份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-</w:t>
            </w:r>
            <w:r>
              <w:rPr>
                <w:rFonts w:ascii="宋体" w:hAnsi="宋体" w:cs="楷体"/>
                <w:szCs w:val="21"/>
              </w:rPr>
              <w:t>2019.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楷体"/>
                <w:szCs w:val="21"/>
              </w:rPr>
              <w:t>月份消除安全检查记录，未发现异常，检查人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赵利峰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10584405"/>
    <w:rsid w:val="108219C2"/>
    <w:rsid w:val="10FE17A1"/>
    <w:rsid w:val="1F5A4DB0"/>
    <w:rsid w:val="398709D8"/>
    <w:rsid w:val="3D36702E"/>
    <w:rsid w:val="40F21BEB"/>
    <w:rsid w:val="5EA12B9A"/>
    <w:rsid w:val="6D6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2</TotalTime>
  <ScaleCrop>false</ScaleCrop>
  <LinksUpToDate>false</LinksUpToDate>
  <CharactersWithSpaces>3874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伍光华</cp:lastModifiedBy>
  <dcterms:modified xsi:type="dcterms:W3CDTF">2019-12-16T02:03:22Z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