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829"/>
        <w:gridCol w:w="992"/>
        <w:gridCol w:w="1129"/>
        <w:gridCol w:w="9503"/>
        <w:gridCol w:w="123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5" w:hRule="atLeast"/>
        </w:trPr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3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受审核部门：监察督导部        陪同人员：陈吉利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" w:hRule="atLeast"/>
        </w:trPr>
        <w:tc>
          <w:tcPr>
            <w:tcW w:w="1843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92" w:type="dxa"/>
            <w:vMerge w:val="continue"/>
            <w:shd w:val="clear" w:color="auto" w:fill="auto"/>
            <w:vAlign w:val="center"/>
          </w:tcPr>
          <w:p/>
        </w:tc>
        <w:tc>
          <w:tcPr>
            <w:tcW w:w="1063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</w:rPr>
              <w:t>审核员：肖新龙</w:t>
            </w:r>
            <w:r>
              <w:t>EOH(QF)</w:t>
            </w:r>
            <w:r>
              <w:rPr>
                <w:rFonts w:hint="eastAsia"/>
              </w:rPr>
              <w:t>（远程）、任泽华</w:t>
            </w:r>
            <w:r>
              <w:t>QF(E)H</w:t>
            </w:r>
            <w:r>
              <w:rPr>
                <w:rFonts w:hint="eastAsia"/>
              </w:rPr>
              <w:t xml:space="preserve">   审核时间：2022-0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08</w:t>
            </w:r>
          </w:p>
        </w:tc>
        <w:tc>
          <w:tcPr>
            <w:tcW w:w="12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6" w:hRule="atLeast"/>
        </w:trPr>
        <w:tc>
          <w:tcPr>
            <w:tcW w:w="1843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992" w:type="dxa"/>
            <w:vMerge w:val="continue"/>
            <w:shd w:val="clear" w:color="auto" w:fill="auto"/>
            <w:vAlign w:val="center"/>
          </w:tcPr>
          <w:p/>
        </w:tc>
        <w:tc>
          <w:tcPr>
            <w:tcW w:w="10632" w:type="dxa"/>
            <w:gridSpan w:val="2"/>
            <w:shd w:val="clear" w:color="auto" w:fill="auto"/>
            <w:vAlign w:val="center"/>
          </w:tcPr>
          <w:p>
            <w:pPr>
              <w:pStyle w:val="8"/>
              <w:ind w:left="0" w:firstLine="0" w:firstLineChars="0"/>
              <w:rPr>
                <w:szCs w:val="21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  <w:szCs w:val="21"/>
              </w:rPr>
              <w:t>Q：5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6.2/</w:t>
            </w:r>
            <w:r>
              <w:rPr>
                <w:rFonts w:hint="eastAsia"/>
                <w:szCs w:val="21"/>
              </w:rPr>
              <w:t>7.1.</w:t>
            </w:r>
            <w:r>
              <w:rPr>
                <w:szCs w:val="21"/>
              </w:rPr>
              <w:t>5/8.6/8.7</w:t>
            </w:r>
            <w:r>
              <w:rPr>
                <w:rFonts w:hint="eastAsia"/>
                <w:szCs w:val="21"/>
              </w:rPr>
              <w:t>/9.1.3</w:t>
            </w:r>
            <w:r>
              <w:rPr>
                <w:szCs w:val="21"/>
              </w:rPr>
              <w:t>/10.2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pStyle w:val="8"/>
              <w:ind w:left="0" w:firstLine="0" w:firstLineChars="0"/>
              <w:rPr>
                <w:szCs w:val="21"/>
              </w:rPr>
            </w:pPr>
            <w:r>
              <w:rPr>
                <w:szCs w:val="21"/>
              </w:rPr>
              <w:t>E:</w:t>
            </w:r>
            <w:r>
              <w:t xml:space="preserve"> </w:t>
            </w:r>
            <w:r>
              <w:rPr>
                <w:szCs w:val="21"/>
              </w:rPr>
              <w:t>5.3/6.1.2/6.1.3/6.1.4/6.2/8.1/8.2/9.1.2/10.2</w:t>
            </w:r>
          </w:p>
          <w:p>
            <w:pPr>
              <w:pStyle w:val="2"/>
              <w:rPr>
                <w:szCs w:val="21"/>
              </w:rPr>
            </w:pPr>
            <w:r>
              <w:rPr>
                <w:szCs w:val="21"/>
              </w:rPr>
              <w:t>O</w:t>
            </w:r>
            <w:r>
              <w:t xml:space="preserve"> </w:t>
            </w:r>
            <w:r>
              <w:rPr>
                <w:szCs w:val="21"/>
              </w:rPr>
              <w:t>:5.3/6.1.2/6.1.3/6.1.4/6.2/8.1/8.2/</w:t>
            </w:r>
            <w:r>
              <w:rPr>
                <w:szCs w:val="21"/>
                <w:highlight w:val="yellow"/>
              </w:rPr>
              <w:t>9.1.2</w:t>
            </w:r>
            <w:r>
              <w:rPr>
                <w:szCs w:val="21"/>
              </w:rPr>
              <w:t>/10.2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pStyle w:val="2"/>
              <w:rPr>
                <w:szCs w:val="21"/>
              </w:rPr>
            </w:pP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5.3/6.2/8.5.4.5/8.7/8.8.1/8.9.1-8.9.4/9.1.2/10.1</w:t>
            </w:r>
          </w:p>
          <w:p>
            <w:r>
              <w:rPr>
                <w:szCs w:val="21"/>
              </w:rPr>
              <w:t>H:</w:t>
            </w:r>
            <w:r>
              <w:t xml:space="preserve"> </w:t>
            </w:r>
            <w:r>
              <w:rPr>
                <w:szCs w:val="21"/>
              </w:rPr>
              <w:t>2.4.2/2.5.1/3.8/3.6/4.3.4.3/4.5/5. 1.1-5.1.3</w:t>
            </w:r>
          </w:p>
        </w:tc>
        <w:tc>
          <w:tcPr>
            <w:tcW w:w="12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3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>
            <w:r>
              <w:rPr>
                <w:rFonts w:hint="eastAsia"/>
              </w:rPr>
              <w:t>H2.5.1</w:t>
            </w:r>
          </w:p>
          <w:p>
            <w:pPr>
              <w:pStyle w:val="2"/>
            </w:pPr>
            <w:r>
              <w:rPr>
                <w:rFonts w:hint="eastAsia"/>
              </w:rPr>
              <w:t>E5.3</w:t>
            </w:r>
          </w:p>
          <w:p>
            <w:pPr>
              <w:pStyle w:val="2"/>
            </w:pPr>
            <w:r>
              <w:rPr>
                <w:rFonts w:hint="eastAsia"/>
              </w:rPr>
              <w:t>O5.3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管理手册第5.3章</w:t>
            </w:r>
          </w:p>
        </w:tc>
        <w:tc>
          <w:tcPr>
            <w:tcW w:w="12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64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pPr>
              <w:spacing w:line="360" w:lineRule="exact"/>
            </w:pPr>
            <w:r>
              <w:rPr>
                <w:rFonts w:hint="eastAsia"/>
              </w:rPr>
              <w:t>主要负责对原料验收、产品放行、餐食留样的管理；餐食加工及配送过程CCP点的监控及实施、不合格品/顾客投诉的处置、计量器具管理；负责餐食加工配送过程中出现的食品安全问题的分析及时协调解决，参与食品安全小组的确认、验证等工作，负责本部门跟产品质量、食品安全、环境和职业健康的实施工作。负责公司环境和职业健康安全的合规性管理。</w:t>
            </w:r>
          </w:p>
        </w:tc>
        <w:tc>
          <w:tcPr>
            <w:tcW w:w="12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《环境因素和危险源辨识、评价和控制程序》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监察督导部对公司的环境因素识别进行组织和协调，明确了公司以过程为基础的环境因素，确定了公司的环境因素，并评价确定了重要环境因素，并明确了控制措施，主要如下（具体实施见各部门审核记录）</w:t>
            </w:r>
          </w:p>
          <w:tbl>
            <w:tblPr>
              <w:tblStyle w:val="9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火灾的发生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管理方案/应急预案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有毒有害废弃物的废弃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/>
                      <w:szCs w:val="24"/>
                    </w:rPr>
                    <w:t>指定有资格的处理商处理，签定处置协议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废水排放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设施设备管理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废气（油烟）排放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设施设备管理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vAlign w:val="center"/>
                </w:tcPr>
                <w:p>
                  <w:pPr>
                    <w:widowControl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噪声</w:t>
                  </w:r>
                </w:p>
              </w:tc>
              <w:tc>
                <w:tcPr>
                  <w:tcW w:w="2460" w:type="dxa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widowControl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设施设备管理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60" w:type="dxa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pStyle w:val="2"/>
              <w:rPr>
                <w:rFonts w:hint="eastAsia"/>
              </w:rPr>
            </w:pPr>
          </w:p>
          <w:p>
            <w:r>
              <w:rPr>
                <w:rFonts w:hint="eastAsia"/>
              </w:rPr>
              <w:t>与本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火灾的发生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管理方案/应急预案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有毒有害废弃物的废弃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/>
                      <w:szCs w:val="24"/>
                    </w:rPr>
                    <w:t>指定有资格的处理商处理，签定处置协议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60" w:type="dxa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/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9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O6.1.2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《环境因素和危险源辨识、评价和控制程序》</w:t>
            </w:r>
          </w:p>
        </w:tc>
        <w:tc>
          <w:tcPr>
            <w:tcW w:w="123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39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监察督导部对公司的危险源识别进行组织和协调，明确了公司以过程为基础识别危险源，并经过评价确定了公司的不可接受风险，明确了控制措施，主要如下（具体实施见各部门审核记录）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公司涉及的主要危险源包括：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食物中毒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FE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FE"/>
            </w:r>
            <w:r>
              <w:rPr>
                <w:rFonts w:hint="eastAsia"/>
              </w:rPr>
              <w:t>噪声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组织评价不可接受风险的准则：《</w:t>
            </w:r>
            <w:r>
              <w:rPr>
                <w:rFonts w:hint="eastAsia"/>
                <w:szCs w:val="22"/>
              </w:rPr>
              <w:t>危险源辨识和风险评价控制程序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r>
              <w:rPr>
                <w:rFonts w:hint="eastAsia"/>
                <w:b/>
                <w:bCs/>
              </w:rPr>
              <w:t>最终确定了公司的重要危险源，及其控制措施是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84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46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46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火灾或爆炸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烧伤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消防设施、日常检查、定期检测、应急演练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机械伤害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摔伤、手指受伤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日常检查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电击伤害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触电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专人管理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烫伤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人身体受伤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医药箱、安全教育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冷冻库内作业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冻伤</w:t>
                  </w:r>
                </w:p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棉衣等防冻措施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/>
              </w:tc>
              <w:tc>
                <w:tcPr>
                  <w:tcW w:w="469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</w:p>
              </w:tc>
            </w:tr>
          </w:tbl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组织对食品中毒进行了识别管理，但未作用重要危险源，现场沟通。</w:t>
            </w:r>
          </w:p>
          <w:p/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81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42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职业健康风险</w:t>
                  </w:r>
                </w:p>
              </w:tc>
              <w:tc>
                <w:tcPr>
                  <w:tcW w:w="427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烧伤</w:t>
                  </w:r>
                </w:p>
              </w:tc>
              <w:tc>
                <w:tcPr>
                  <w:tcW w:w="427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lang w:val="en-GB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消防设施、日常检查、定期检测、应急演练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/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27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/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427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</w:tbl>
          <w:p/>
        </w:tc>
        <w:tc>
          <w:tcPr>
            <w:tcW w:w="12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4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1129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《环境、职业健康安全目标、指标和管理方案》</w:t>
            </w:r>
          </w:p>
        </w:tc>
        <w:tc>
          <w:tcPr>
            <w:tcW w:w="123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11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组织针对重要环境因素、合规义务、风险和机遇制订了控制措施（管理方案）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1"/>
              <w:gridCol w:w="992"/>
              <w:gridCol w:w="5529"/>
              <w:gridCol w:w="10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杜绝火灾发生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t>重大危险源</w:t>
                  </w:r>
                </w:p>
              </w:tc>
              <w:tc>
                <w:tcPr>
                  <w:tcW w:w="552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消除潜在火灾隐患措施：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1.制订《应急预案》，《环境和职业健康安全运行控制程序》、《应急准备与响应控制程序》，并严格实施相关要求。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2.加强对燃气管道、电器使用、供电线路老化、漏电、易燃烧物存放不当、人员吸烟的检查力度，杜绝火灾事故发生，确保办公区域、中央厨房的消防器材完好，发现隐患及时报管理部处理。</w:t>
                  </w:r>
                </w:p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3.开展定期安全宣传教育、消防知识和应急预案等培训。</w:t>
                  </w: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中央厨房为主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固体废弃物分类处理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552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固体废弃物回收处置措施：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1.制订《环境和职业健康安全运行控制程序》，并严格实施相关要求。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2.综合办对固废堆放点进行分类、标识。对环境有污染的物品（如：泔水、废油、硒鼓、色带等）建立专门收集处，由供应商或有资质的单位回收。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3.过期/变质产品、生活垃圾、废弃包材分开堆放，由专门单位负责清运。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4.教育员工对外来人员在岗位区域内有污染环境的行为进行制止、告之对固体废弃物随便排放的行为给予批评教育。</w:t>
                  </w:r>
                </w:p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5.加强对固废分类及回收执行情况（包括相关方）的监督检查。</w:t>
                  </w: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中央厨房为主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杜绝重大安全事故和伤亡事件</w:t>
                  </w:r>
                </w:p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控制各类轻伤事故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重大危险源</w:t>
                  </w:r>
                </w:p>
              </w:tc>
              <w:tc>
                <w:tcPr>
                  <w:tcW w:w="552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控制伤亡事故管理措施：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1.建立《应急准备与响应控制程序》、《应急预案》，明确烫伤、切伤、触电、车祸等急救措施。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2.进行员工安全操作规程的培训，加强自我安全防范意识和员工责任心教育，进行员工应急预案的培训，进行员工紧急救护措施培训。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3.对各种设备定期检修，及时维护。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4.购买的设备维修零件必须经检查与验收合格后方可使用，以防止使用设备时造成机械伤害。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5.严格执行《应急预案》要求。</w:t>
                  </w:r>
                </w:p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6.管理部加强对工伤事故的管理，发生工伤事故时，按四不放过原则对工伤事故进行分析，进行教育，采取纠正预防措施，并负责验证措施。</w:t>
                  </w: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中央厨房为主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1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污染物排放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重要环境因素</w:t>
                  </w:r>
                </w:p>
              </w:tc>
              <w:tc>
                <w:tcPr>
                  <w:tcW w:w="552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废水达标排放管理措施：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1.制订《环境和职业健康安全运行控制程序》，并严格实施相关要求。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2.厨房废水经隔油池、生活污水经化粪池预处理后与其他废水（餐具及地面清洗水）经地埋式污水处理装置处理后达标排放。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3.每年至少一次委托资质单位进行检测。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4.管理者代表每季度定期检查现场作业及废水排放情况。</w:t>
                  </w:r>
                </w:p>
                <w:p>
                  <w:pPr>
                    <w:spacing w:line="32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5.值班经理每日进行现场的环境检查，做好检查记录。</w:t>
                  </w: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中央厨房为主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1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??"/>
                      <w:szCs w:val="21"/>
                    </w:rPr>
                  </w:pPr>
                </w:p>
              </w:tc>
              <w:tc>
                <w:tcPr>
                  <w:tcW w:w="992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52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油烟废气达标排放管理措施：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1.制订《环境和职业健康安全运行控制程序》，并严格实施相关要求。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2.油烟废气经油烟净化装置处理后由15m高排气筒排放。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3.每年至少一次委托资质单位进行检测。</w:t>
                  </w:r>
                </w:p>
                <w:p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4.管理者代表每季度定期检查现场作业及废气排放情况。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5.值班经理每日进行现场的环境检查，做好检查记录。</w:t>
                  </w: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</w:rPr>
                    <w:t>中央厨房为主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529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529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pPr>
              <w:pStyle w:val="2"/>
              <w:rPr>
                <w:rFonts w:hint="eastAsia"/>
              </w:rPr>
            </w:pPr>
          </w:p>
        </w:tc>
        <w:tc>
          <w:tcPr>
            <w:tcW w:w="12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3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Style w:val="12"/>
                <w:rFonts w:hint="eastAsia"/>
              </w:rPr>
              <w:t>法律法规要求和其他要求的确定\</w:t>
            </w:r>
            <w:r>
              <w:rPr>
                <w:rFonts w:hint="eastAsia"/>
                <w:color w:val="000000"/>
                <w:szCs w:val="21"/>
              </w:rPr>
              <w:t>合规义务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O6.1.3</w:t>
            </w:r>
          </w:p>
        </w:tc>
        <w:tc>
          <w:tcPr>
            <w:tcW w:w="1129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手册第6.1.</w:t>
            </w:r>
            <w:r>
              <w:t>3/9.1.7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《法律法规和其他要求识别和评价控制程序》</w:t>
            </w:r>
          </w:p>
        </w:tc>
        <w:tc>
          <w:tcPr>
            <w:tcW w:w="123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16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组织收集法律法规和其他要求的渠道：</w:t>
            </w:r>
          </w:p>
          <w:p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专业网站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主管机构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专业书店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其他（行业/协会）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提供有</w:t>
            </w:r>
            <w:r>
              <w:rPr>
                <w:rFonts w:hint="eastAsia"/>
                <w:u w:val="single"/>
              </w:rPr>
              <w:t>《相关法律法规清单》，对环境和职业健康安全涉及的法律法规进行了识别；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列举主要的相关法律法规是：</w:t>
            </w:r>
          </w:p>
          <w:tbl>
            <w:tblPr>
              <w:tblStyle w:val="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02"/>
              <w:gridCol w:w="1127"/>
              <w:gridCol w:w="2138"/>
              <w:gridCol w:w="15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  <w:jc w:val="center"/>
              </w:trPr>
              <w:tc>
                <w:tcPr>
                  <w:tcW w:w="4402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法律法规名称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具体条款</w:t>
                  </w:r>
                </w:p>
              </w:tc>
              <w:tc>
                <w:tcPr>
                  <w:tcW w:w="2138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应用过程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  <w:jc w:val="center"/>
              </w:trPr>
              <w:tc>
                <w:tcPr>
                  <w:tcW w:w="4402" w:type="dxa"/>
                  <w:shd w:val="clear" w:color="auto" w:fill="auto"/>
                  <w:vAlign w:val="center"/>
                </w:tcPr>
                <w:p>
                  <w:pPr>
                    <w:pStyle w:val="19"/>
                    <w:jc w:val="left"/>
                  </w:pPr>
                  <w:r>
                    <w:t>《中华人民共和国消防法》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全部</w:t>
                  </w: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消防过程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  <w:jc w:val="center"/>
              </w:trPr>
              <w:tc>
                <w:tcPr>
                  <w:tcW w:w="4402" w:type="dxa"/>
                  <w:shd w:val="clear" w:color="auto" w:fill="auto"/>
                  <w:vAlign w:val="center"/>
                </w:tcPr>
                <w:p>
                  <w:pPr>
                    <w:pStyle w:val="19"/>
                    <w:jc w:val="left"/>
                  </w:pPr>
                  <w:r>
                    <w:t>《中华人民共和国固体废物污染环境防治法》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全部</w:t>
                  </w: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固废处理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1" w:hRule="atLeast"/>
                <w:jc w:val="center"/>
              </w:trPr>
              <w:tc>
                <w:tcPr>
                  <w:tcW w:w="440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餐饮服务业大气污染物排放标准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全部</w:t>
                  </w: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油烟排放过程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atLeast"/>
                <w:jc w:val="center"/>
              </w:trPr>
              <w:tc>
                <w:tcPr>
                  <w:tcW w:w="440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杭州市生活垃圾管理条例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全部</w:t>
                  </w: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固体废弃物管理过程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" w:hRule="atLeast"/>
                <w:jc w:val="center"/>
              </w:trPr>
              <w:tc>
                <w:tcPr>
                  <w:tcW w:w="4402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消防安全标志GB 13495.1-2015</w:t>
                  </w:r>
                </w:p>
              </w:tc>
              <w:tc>
                <w:tcPr>
                  <w:tcW w:w="112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全部</w:t>
                  </w: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消防过程</w:t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t>各部门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不适用   </w:t>
            </w:r>
            <w:r>
              <w:rPr>
                <w:rFonts w:hint="eastAsia"/>
                <w:color w:val="000000"/>
                <w:szCs w:val="18"/>
              </w:rPr>
              <w:t>有效期至：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年    月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/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餐厨垃圾（含地沟油）与“浙江卓尚环保能源有限公司”签订协议，统一由其进行处理；合同签订日期：202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. 2.</w:t>
            </w:r>
            <w:r>
              <w:rPr>
                <w:u w:val="single"/>
              </w:rPr>
              <w:t>26</w:t>
            </w:r>
            <w:r>
              <w:rPr>
                <w:rFonts w:hint="eastAsia"/>
                <w:u w:val="single"/>
              </w:rPr>
              <w:t>；提供了厨余垃圾清运台账、《废弃油回收处理台账》，基本符合要求。</w:t>
            </w:r>
          </w:p>
          <w:p>
            <w:pPr>
              <w:pStyle w:val="2"/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确认环境影响评价的种类：——不适用</w:t>
            </w:r>
          </w:p>
          <w:p>
            <w:pPr>
              <w:rPr>
                <w:color w:val="000000"/>
              </w:rPr>
            </w:pP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环境影响登记表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2"/>
              <w:rPr>
                <w:color w:val="FF0000"/>
              </w:rPr>
            </w:pPr>
            <w:r>
              <w:t>备案号：</w:t>
            </w:r>
          </w:p>
          <w:p>
            <w:pPr>
              <w:pStyle w:val="2"/>
              <w:rPr>
                <w:color w:val="FF0000"/>
              </w:rPr>
            </w:pPr>
            <w:r>
              <w:rPr>
                <w:rFonts w:hint="eastAsia"/>
              </w:rPr>
              <w:t>消防备案：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不适用</w:t>
            </w:r>
          </w:p>
        </w:tc>
        <w:tc>
          <w:tcPr>
            <w:tcW w:w="12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3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  <w:p/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  <w:p>
            <w:pPr>
              <w:pStyle w:val="2"/>
            </w:pPr>
            <w:r>
              <w:rPr>
                <w:rFonts w:hint="eastAsia"/>
              </w:rPr>
              <w:t>H2.4.2</w:t>
            </w:r>
          </w:p>
          <w:p>
            <w:pPr>
              <w:pStyle w:val="2"/>
            </w:pPr>
            <w:r>
              <w:rPr>
                <w:rFonts w:hint="eastAsia"/>
              </w:rPr>
              <w:t>E6.2</w:t>
            </w:r>
          </w:p>
          <w:p>
            <w:pPr>
              <w:pStyle w:val="2"/>
            </w:pPr>
            <w:r>
              <w:rPr>
                <w:rFonts w:hint="eastAsia"/>
              </w:rPr>
              <w:t>O6.2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《公司管理体系目标及过程监视测量情况考核统计》</w:t>
            </w:r>
          </w:p>
        </w:tc>
        <w:tc>
          <w:tcPr>
            <w:tcW w:w="12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22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分解目标，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  <w:color w:val="000000"/>
                <w:szCs w:val="21"/>
              </w:rPr>
              <w:t>本部门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9"/>
              <w:tblW w:w="95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2"/>
              <w:gridCol w:w="3028"/>
              <w:gridCol w:w="1226"/>
              <w:gridCol w:w="24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283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本部门目标</w:t>
                  </w:r>
                </w:p>
              </w:tc>
              <w:tc>
                <w:tcPr>
                  <w:tcW w:w="30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2021.11--2022.</w:t>
                  </w:r>
                  <w:r>
                    <w:rPr>
                      <w:rFonts w:ascii="宋体" w:hAnsi="宋体"/>
                      <w:color w:val="000000"/>
                      <w:kern w:val="0"/>
                      <w:szCs w:val="21"/>
                    </w:rPr>
                    <w:t>3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内审计划实施率100％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组织内审员学习，按照内审程序要求组织内审；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监察督导部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均为</w:t>
                  </w:r>
                  <w:r>
                    <w:rPr>
                      <w:rFonts w:ascii="宋体" w:hAnsi="宋体" w:cs="宋体"/>
                      <w:szCs w:val="21"/>
                    </w:rPr>
                    <w:t>100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验证执行率95％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按照验证控制程序执行，确保HACCP计划等得到有效验证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监察督导部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均为100%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产品抽样检验覆盖面达到99%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按照</w:t>
                  </w:r>
                  <w:r>
                    <w:rPr>
                      <w:rFonts w:ascii="宋体" w:hAnsi="宋体"/>
                      <w:szCs w:val="21"/>
                    </w:rPr>
                    <w:t>QMS8.2.4</w:t>
                  </w:r>
                  <w:r>
                    <w:rPr>
                      <w:rFonts w:hint="eastAsia" w:ascii="宋体" w:hAnsi="宋体"/>
                      <w:szCs w:val="21"/>
                    </w:rPr>
                    <w:t>的</w:t>
                  </w:r>
                  <w:r>
                    <w:rPr>
                      <w:rFonts w:ascii="宋体" w:hAnsi="宋体"/>
                      <w:szCs w:val="21"/>
                    </w:rPr>
                    <w:t>要求控制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监察督导部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均为100%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计量器具送检率100％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按照综合管理手册和有关计量监督部门规定执行；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监察督导部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均为100%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废水/废气按国家标准排放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按照外部监测情况统计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监察督导部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进行了监测，已达标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u w:val="single"/>
              </w:rPr>
              <w:t>2022年</w:t>
            </w:r>
            <w:r>
              <w:rPr>
                <w:u w:val="single"/>
              </w:rPr>
              <w:t>4</w:t>
            </w:r>
            <w:r>
              <w:rPr>
                <w:rFonts w:hint="eastAsia"/>
                <w:u w:val="single"/>
              </w:rPr>
              <w:t>月份之后目标在实施中。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E8.1</w:t>
            </w:r>
          </w:p>
          <w:p>
            <w:pPr>
              <w:pStyle w:val="8"/>
              <w:ind w:left="0" w:firstLine="0" w:firstLineChars="0"/>
            </w:pPr>
            <w:r>
              <w:rPr>
                <w:rFonts w:hint="eastAsia"/>
              </w:rPr>
              <w:t>O8.1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管理手册8.1条款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 xml:space="preserve">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化学品柜  不涉及</w:t>
            </w:r>
          </w:p>
          <w:p>
            <w:r>
              <w:rPr>
                <w:rFonts w:hint="eastAsia"/>
              </w:rPr>
              <w:t>化学品防护性要求：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防日晒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防护方法可包括：不涉及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防漏托盘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地面防渗层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灭火器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储存温湿度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是否有MSDS：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u w:val="single"/>
              </w:rPr>
              <w:t>主要是少量75%酒精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远程/</w:t>
            </w:r>
            <w:r>
              <w:rPr>
                <w:rFonts w:hint="eastAsia"/>
              </w:rPr>
              <w:t>现场观察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对剧毒品的管理：（适用时）不适用</w:t>
            </w:r>
          </w:p>
          <w:p>
            <w:r>
              <w:rPr>
                <w:rFonts w:hint="eastAsia"/>
              </w:rPr>
              <w:t xml:space="preserve">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化学品柜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部分原料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目前的剧毒品名称：</w:t>
            </w:r>
            <w:r>
              <w:rPr>
                <w:rFonts w:hint="eastAsia"/>
                <w:u w:val="single"/>
              </w:rPr>
              <w:t xml:space="preserve">       </w:t>
            </w:r>
          </w:p>
          <w:p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双账簿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双锁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双人出库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化学品库房管理：抽查化学品名称：</w:t>
            </w:r>
            <w:r>
              <w:rPr>
                <w:rFonts w:hint="eastAsia"/>
                <w:u w:val="single"/>
              </w:rPr>
              <w:t xml:space="preserve">    见财务部（仓储部）审核记录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有MSDS或告知卡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防渗漏措施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远程/</w:t>
            </w:r>
            <w:r>
              <w:rPr>
                <w:rFonts w:hint="eastAsia"/>
              </w:rPr>
              <w:t>现场观察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查看检验室的现场管理</w:t>
            </w:r>
          </w:p>
          <w:p>
            <w:r>
              <w:rPr>
                <w:rFonts w:hint="eastAsia"/>
              </w:rPr>
              <w:t>危化品的保管：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合格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不合格，说明：</w:t>
            </w:r>
            <w:r>
              <w:rPr>
                <w:rFonts w:hint="eastAsia"/>
                <w:u w:val="single"/>
              </w:rPr>
              <w:t xml:space="preserve"> 不涉及  </w:t>
            </w:r>
          </w:p>
          <w:p>
            <w:r>
              <w:rPr>
                <w:rFonts w:hint="eastAsia"/>
              </w:rPr>
              <w:t>MSDS的配备：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齐全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不齐全，说明：</w:t>
            </w:r>
            <w:r>
              <w:rPr>
                <w:rFonts w:hint="eastAsia"/>
                <w:u w:val="single"/>
              </w:rPr>
              <w:t xml:space="preserve">    不涉及  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通风处的完好：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完好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不完好，说明：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劳保用品的准备：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护目镜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防毒面罩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防酸碱手套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防护服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不涉及 </w:t>
            </w:r>
          </w:p>
          <w:p>
            <w:r>
              <w:rPr>
                <w:rFonts w:hint="eastAsia"/>
              </w:rPr>
              <w:t>消防器材：完好，主要由综合管理部（工程）负责检查，见综合管理部（工程）审核记录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Q7.1.5</w:t>
            </w:r>
          </w:p>
          <w:p>
            <w:pPr>
              <w:pStyle w:val="2"/>
            </w:pPr>
            <w:r>
              <w:rPr>
                <w:rFonts w:hint="eastAsia"/>
              </w:rPr>
              <w:t>F8.7</w:t>
            </w:r>
          </w:p>
          <w:p>
            <w:pPr>
              <w:pStyle w:val="2"/>
            </w:pPr>
            <w:r>
              <w:rPr>
                <w:rFonts w:hint="eastAsia"/>
              </w:rPr>
              <w:t>H3.6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《监视和测量装备控制程序》、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手册第7.1.5条款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>
            <w:pPr>
              <w:pStyle w:val="8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 xml:space="preserve">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服务检查表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食品安全自查表/安全检查表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>
            <w:pPr>
              <w:ind w:left="1680" w:leftChars="700" w:hanging="210" w:hangingChars="1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8"/>
            </w:pP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t>食品安全自查表/安全检查表：《鼎香央厨自查审核表》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抽查计量器具外部检定或校准情况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9"/>
              <w:gridCol w:w="2268"/>
              <w:gridCol w:w="1701"/>
              <w:gridCol w:w="26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635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r>
                    <w:rPr>
                      <w:rFonts w:hint="eastAsia"/>
                    </w:rPr>
                    <w:t>电子计价秤</w:t>
                  </w:r>
                </w:p>
              </w:tc>
              <w:tc>
                <w:tcPr>
                  <w:tcW w:w="2268" w:type="dxa"/>
                </w:tcPr>
                <w:p>
                  <w:r>
                    <w:t>UNE15-202204020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022.4.25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63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生产车间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r>
                    <w:rPr>
                      <w:rFonts w:hint="eastAsia"/>
                    </w:rPr>
                    <w:t>数字温度计（-</w:t>
                  </w:r>
                  <w:r>
                    <w:t>30</w:t>
                  </w:r>
                  <w:r>
                    <w:rPr>
                      <w:rFonts w:hint="eastAsia"/>
                    </w:rPr>
                    <w:t>~</w:t>
                  </w:r>
                  <w:r>
                    <w:t>300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68" w:type="dxa"/>
                </w:tcPr>
                <w:p>
                  <w:r>
                    <w:t>UNE41-202204036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022.4.26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6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生产加工间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公用</w:t>
                  </w:r>
                </w:p>
                <w:p>
                  <w:r>
                    <w:rPr>
                      <w:rFonts w:hint="eastAsia"/>
                    </w:rPr>
                    <w:t>口实验室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r>
                    <w:rPr>
                      <w:rFonts w:hint="eastAsia"/>
                    </w:rPr>
                    <w:t>农药残留快速检测仪</w:t>
                  </w:r>
                </w:p>
              </w:tc>
              <w:tc>
                <w:tcPr>
                  <w:tcW w:w="2268" w:type="dxa"/>
                </w:tcPr>
                <w:p>
                  <w:r>
                    <w:t>UNE05-202204014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022.4.28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6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生产加工间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r>
                    <w:rPr>
                      <w:rFonts w:hint="eastAsia"/>
                    </w:rPr>
                    <w:t>数显恒温水浴锅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U</w:t>
                  </w:r>
                  <w:r>
                    <w:t>NE12S-202204024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022.4.28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6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生产加工间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压力表</w:t>
                  </w:r>
                </w:p>
              </w:tc>
              <w:tc>
                <w:tcPr>
                  <w:tcW w:w="226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U</w:t>
                  </w:r>
                  <w:r>
                    <w:t>NE17-202204099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022.4.25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63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生产车间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r>
                    <w:rPr>
                      <w:rFonts w:hint="eastAsia"/>
                    </w:rPr>
                    <w:t>微电脑温度控制器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U</w:t>
                  </w:r>
                  <w:r>
                    <w:t>NE46-202204011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022.4.25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63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生产车间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3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双金属温度计</w:t>
                  </w:r>
                </w:p>
              </w:tc>
              <w:tc>
                <w:tcPr>
                  <w:tcW w:w="2268" w:type="dxa"/>
                </w:tcPr>
                <w:p>
                  <w:pPr>
                    <w:rPr>
                      <w:rFonts w:hint="eastAsia"/>
                    </w:rPr>
                  </w:pPr>
                  <w:r>
                    <w:t>UNE20-202204014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022.4.26</w:t>
                  </w:r>
                  <w:r>
                    <w:rPr>
                      <w:rFonts w:hint="eastAsia"/>
                    </w:rPr>
                    <w:t>校准</w:t>
                  </w:r>
                </w:p>
              </w:tc>
              <w:tc>
                <w:tcPr>
                  <w:tcW w:w="263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生产车间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pPr>
              <w:pStyle w:val="8"/>
              <w:ind w:left="0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1、冷冻、冷藏库温度监控系统没有提供校检证明；</w:t>
            </w:r>
          </w:p>
          <w:p>
            <w:pPr>
              <w:pStyle w:val="8"/>
              <w:ind w:left="0" w:firstLine="0" w:firstLineChars="0"/>
            </w:pPr>
            <w:r>
              <w:rPr>
                <w:rFonts w:hint="eastAsia"/>
                <w:highlight w:val="yellow"/>
              </w:rPr>
              <w:t xml:space="preserve">    2、称量用电子秤（KFS-C系列）和仓库验收用电子台秤（TCS-500）没有提供校检证明；——开具不符合报告。</w:t>
            </w:r>
          </w:p>
          <w:p>
            <w:pPr>
              <w:pStyle w:val="8"/>
              <w:ind w:left="0" w:firstLine="0" w:firstLineChars="0"/>
              <w:rPr>
                <w:rFonts w:hint="eastAsia"/>
              </w:rPr>
            </w:pPr>
          </w:p>
          <w:p>
            <w:r>
              <w:rPr>
                <w:rFonts w:hint="eastAsia"/>
              </w:rPr>
              <w:t>抽查内部校准情况；抽查《——》：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>
                  <w:pPr>
                    <w:rPr>
                      <w:bCs/>
                    </w:rPr>
                  </w:pPr>
                </w:p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>
                  <w:pPr>
                    <w:rPr>
                      <w:bCs/>
                    </w:rPr>
                  </w:pPr>
                </w:p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>
                  <w:pPr>
                    <w:rPr>
                      <w:bCs/>
                    </w:rPr>
                  </w:pPr>
                </w:p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生产加工间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pPr>
              <w:pStyle w:val="8"/>
              <w:ind w:left="0" w:firstLine="0" w:firstLineChars="0"/>
            </w:pPr>
          </w:p>
          <w:p>
            <w:pPr>
              <w:pStyle w:val="8"/>
              <w:ind w:left="0" w:firstLine="0" w:firstLineChars="0"/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6"/>
              <w:gridCol w:w="1291"/>
              <w:gridCol w:w="3364"/>
              <w:gridCol w:w="2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1291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522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291" w:type="dxa"/>
                </w:tcPr>
                <w:p/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/>
              </w:tc>
              <w:tc>
                <w:tcPr>
                  <w:tcW w:w="1291" w:type="dxa"/>
                </w:tcPr>
                <w:p/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/>
              </w:tc>
              <w:tc>
                <w:tcPr>
                  <w:tcW w:w="1291" w:type="dxa"/>
                </w:tcPr>
                <w:p/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/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标准溶液控制：不涉及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8"/>
              <w:gridCol w:w="946"/>
              <w:gridCol w:w="1540"/>
              <w:gridCol w:w="1843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98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946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540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1843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0" w:type="dxa"/>
          <w:trHeight w:val="486" w:hRule="atLeast"/>
        </w:trPr>
        <w:tc>
          <w:tcPr>
            <w:tcW w:w="1829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237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10" w:type="dxa"/>
          <w:trHeight w:val="487" w:hRule="atLeast"/>
        </w:trPr>
        <w:tc>
          <w:tcPr>
            <w:tcW w:w="1829" w:type="dxa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  <w:vAlign w:val="center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</w:rPr>
              <w:t>HCCCP计划见“食品安全小组8.5.4条款审核记录”</w:t>
            </w:r>
          </w:p>
        </w:tc>
        <w:tc>
          <w:tcPr>
            <w:tcW w:w="1237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74" w:hRule="atLeast"/>
        </w:trPr>
        <w:tc>
          <w:tcPr>
            <w:tcW w:w="1829" w:type="dxa"/>
            <w:vMerge w:val="continue"/>
            <w:shd w:val="clear" w:color="auto" w:fill="auto"/>
          </w:tcPr>
          <w:p/>
        </w:tc>
        <w:tc>
          <w:tcPr>
            <w:tcW w:w="992" w:type="dxa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>
            <w:r>
              <w:rPr>
                <w:rFonts w:hint="eastAsia"/>
              </w:rPr>
              <w:t>H4.3.4.3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视频/</w:t>
            </w:r>
            <w:r>
              <w:rPr>
                <w:rFonts w:hint="eastAsia"/>
              </w:rPr>
              <w:t>现场查看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OPRP的实施情况：本部门不涉及</w:t>
            </w:r>
          </w:p>
          <w:tbl>
            <w:tblPr>
              <w:tblStyle w:val="10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6"/>
              <w:gridCol w:w="910"/>
              <w:gridCol w:w="3426"/>
              <w:gridCol w:w="1270"/>
              <w:gridCol w:w="1444"/>
              <w:gridCol w:w="10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86" w:type="dxa"/>
                </w:tcPr>
                <w:p/>
              </w:tc>
              <w:tc>
                <w:tcPr>
                  <w:tcW w:w="910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3426" w:type="dxa"/>
                </w:tcPr>
                <w:p>
                  <w:r>
                    <w:rPr>
                      <w:rFonts w:hint="eastAsia"/>
                    </w:rPr>
                    <w:t>行动准则</w:t>
                  </w:r>
                </w:p>
              </w:tc>
              <w:tc>
                <w:tcPr>
                  <w:tcW w:w="1270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444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034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6" w:type="dxa"/>
                  <w:vMerge w:val="restart"/>
                </w:tcPr>
                <w:p/>
              </w:tc>
              <w:tc>
                <w:tcPr>
                  <w:tcW w:w="910" w:type="dxa"/>
                  <w:vAlign w:val="center"/>
                </w:tcPr>
                <w:p>
                  <w:pPr>
                    <w:pStyle w:val="2"/>
                  </w:pPr>
                </w:p>
              </w:tc>
              <w:tc>
                <w:tcPr>
                  <w:tcW w:w="342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lang w:bidi="ar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pStyle w:val="8"/>
                    <w:ind w:left="0" w:firstLine="0" w:firstLineChars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</w:tcPr>
                <w:p/>
              </w:tc>
              <w:tc>
                <w:tcPr>
                  <w:tcW w:w="103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6" w:type="dxa"/>
                  <w:vMerge w:val="continue"/>
                </w:tcPr>
                <w:p/>
              </w:tc>
              <w:tc>
                <w:tcPr>
                  <w:tcW w:w="91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6" w:type="dxa"/>
                </w:tcPr>
                <w:p>
                  <w:pPr>
                    <w:spacing w:line="192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</w:tcPr>
                <w:p/>
              </w:tc>
              <w:tc>
                <w:tcPr>
                  <w:tcW w:w="1034" w:type="dxa"/>
                </w:tcPr>
                <w:p/>
              </w:tc>
            </w:tr>
          </w:tbl>
          <w:p>
            <w:pPr>
              <w:pStyle w:val="6"/>
            </w:pPr>
          </w:p>
          <w:p>
            <w:r>
              <w:rPr>
                <w:rFonts w:hint="eastAsia"/>
              </w:rPr>
              <w:t>HACCP的实施情况：本部门不涉及，具体见中央厨房审核记录</w:t>
            </w:r>
          </w:p>
          <w:tbl>
            <w:tblPr>
              <w:tblStyle w:val="10"/>
              <w:tblW w:w="96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6"/>
              <w:gridCol w:w="800"/>
              <w:gridCol w:w="1355"/>
              <w:gridCol w:w="1390"/>
              <w:gridCol w:w="2792"/>
              <w:gridCol w:w="14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846" w:type="dxa"/>
                </w:tcPr>
                <w:p/>
              </w:tc>
              <w:tc>
                <w:tcPr>
                  <w:tcW w:w="800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355" w:type="dxa"/>
                </w:tcPr>
                <w:p>
                  <w:r>
                    <w:rPr>
                      <w:rFonts w:hint="eastAsia"/>
                    </w:rPr>
                    <w:t>关键限值CL</w:t>
                  </w:r>
                </w:p>
              </w:tc>
              <w:tc>
                <w:tcPr>
                  <w:tcW w:w="1390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792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435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" w:hRule="atLeast"/>
              </w:trPr>
              <w:tc>
                <w:tcPr>
                  <w:tcW w:w="1846" w:type="dxa"/>
                  <w:vAlign w:val="center"/>
                </w:tcPr>
                <w:p>
                  <w:pPr>
                    <w:pStyle w:val="6"/>
                  </w:pPr>
                </w:p>
              </w:tc>
              <w:tc>
                <w:tcPr>
                  <w:tcW w:w="800" w:type="dxa"/>
                  <w:vAlign w:val="center"/>
                </w:tcPr>
                <w:p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90" w:type="dxa"/>
                </w:tcPr>
                <w:p/>
              </w:tc>
              <w:tc>
                <w:tcPr>
                  <w:tcW w:w="2792" w:type="dxa"/>
                </w:tcPr>
                <w:p/>
              </w:tc>
              <w:tc>
                <w:tcPr>
                  <w:tcW w:w="1435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846" w:type="dxa"/>
                  <w:vAlign w:val="center"/>
                </w:tcPr>
                <w:p>
                  <w:pPr>
                    <w:pStyle w:val="6"/>
                    <w:rPr>
                      <w:sz w:val="21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pStyle w:val="6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90" w:type="dxa"/>
                </w:tcPr>
                <w:p/>
              </w:tc>
              <w:tc>
                <w:tcPr>
                  <w:tcW w:w="2792" w:type="dxa"/>
                </w:tcPr>
                <w:p/>
              </w:tc>
              <w:tc>
                <w:tcPr>
                  <w:tcW w:w="143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46" w:type="dxa"/>
                </w:tcPr>
                <w:p/>
              </w:tc>
              <w:tc>
                <w:tcPr>
                  <w:tcW w:w="800" w:type="dxa"/>
                </w:tcPr>
                <w:p/>
              </w:tc>
              <w:tc>
                <w:tcPr>
                  <w:tcW w:w="1355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lang w:bidi="ar"/>
                    </w:rPr>
                  </w:pPr>
                </w:p>
              </w:tc>
              <w:tc>
                <w:tcPr>
                  <w:tcW w:w="1390" w:type="dxa"/>
                </w:tcPr>
                <w:p/>
              </w:tc>
              <w:tc>
                <w:tcPr>
                  <w:tcW w:w="2792" w:type="dxa"/>
                </w:tcPr>
                <w:p/>
              </w:tc>
              <w:tc>
                <w:tcPr>
                  <w:tcW w:w="143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</w:trPr>
              <w:tc>
                <w:tcPr>
                  <w:tcW w:w="1846" w:type="dxa"/>
                </w:tcPr>
                <w:p/>
              </w:tc>
              <w:tc>
                <w:tcPr>
                  <w:tcW w:w="800" w:type="dxa"/>
                </w:tcPr>
                <w:p/>
              </w:tc>
              <w:tc>
                <w:tcPr>
                  <w:tcW w:w="1355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792" w:type="dxa"/>
                </w:tcPr>
                <w:p/>
              </w:tc>
              <w:tc>
                <w:tcPr>
                  <w:tcW w:w="1435" w:type="dxa"/>
                </w:tcPr>
                <w:p/>
              </w:tc>
            </w:tr>
          </w:tbl>
          <w:p/>
        </w:tc>
        <w:tc>
          <w:tcPr>
            <w:tcW w:w="124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843" w:type="dxa"/>
            <w:gridSpan w:val="2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Q8.6</w:t>
            </w:r>
          </w:p>
          <w:p>
            <w:r>
              <w:rPr>
                <w:rFonts w:hint="eastAsia"/>
              </w:rPr>
              <w:t>F8.9.4.2</w:t>
            </w:r>
          </w:p>
          <w:p>
            <w:pPr>
              <w:pStyle w:val="2"/>
            </w:pPr>
            <w:r>
              <w:rPr>
                <w:rFonts w:hint="eastAsia"/>
              </w:rPr>
              <w:t>H3.8</w:t>
            </w:r>
          </w:p>
        </w:tc>
        <w:tc>
          <w:tcPr>
            <w:tcW w:w="112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食品安全检查制度》、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《公司食品安全管理制度》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《采购验收管理标准》、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《过程和产品的监视测量控制程序》、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食品进货查验制度》、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《进货检验规程》、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《前提方案/良好卫生规范》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325"/>
              <w:gridCol w:w="4564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一般：感官检查、预包装完好、重量等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</w:rPr>
                    <w:t>蔬菜：农药残留符合要求、新鲜、无腐烂变质；</w:t>
                  </w:r>
                </w:p>
                <w:p>
                  <w:pPr>
                    <w:pStyle w:val="3"/>
                    <w:ind w:left="0"/>
                  </w:pPr>
                  <w:r>
                    <w:rPr>
                      <w:rFonts w:hint="eastAsia"/>
                    </w:rPr>
                    <w:t>畜禽肉类：合格证明、新鲜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餐盒验收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外观、标识、感官要求（形状良好，两边偏差等）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564" w:type="dxa"/>
                </w:tcPr>
                <w:p/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中央厨房现场依据《粗加工标准、切配标准、烹饪标准等》，其中主要通过感官检验为主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感官、餐食中心温度、烧熟煮透等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325" w:type="dxa"/>
                </w:tcPr>
                <w:p>
                  <w:r>
                    <w:rPr>
                      <w:rFonts w:hint="eastAsia"/>
                    </w:rPr>
                    <w:t>现场随机</w:t>
                  </w:r>
                </w:p>
              </w:tc>
              <w:tc>
                <w:tcPr>
                  <w:tcW w:w="4564" w:type="dxa"/>
                </w:tcPr>
                <w:p>
                  <w:r>
                    <w:rPr>
                      <w:rFonts w:hint="eastAsia"/>
                    </w:rPr>
                    <w:t>通过对餐前准备、售中服务、售卖服务等要求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247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43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112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过程检查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 快速检测结果登记表》/《进货查验记录表》（包材、肉类、调味品、禽类、洗消用品、日常易耗品等验收，品类覆盖齐全。</w:t>
            </w:r>
          </w:p>
          <w:tbl>
            <w:tblPr>
              <w:tblStyle w:val="10"/>
              <w:tblW w:w="94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411"/>
              <w:gridCol w:w="880"/>
              <w:gridCol w:w="1660"/>
              <w:gridCol w:w="2759"/>
              <w:gridCol w:w="19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41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物料名称/批次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75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2022-0</w:t>
                  </w:r>
                  <w:r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蔬菜（青菜、白菜、莴笋等7个品种）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检测值≤5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759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鲜金针菇</w:t>
                  </w:r>
                  <w:r>
                    <w:rPr>
                      <w:sz w:val="18"/>
                      <w:szCs w:val="18"/>
                    </w:rPr>
                    <w:t>4.4</w:t>
                  </w:r>
                  <w:r>
                    <w:rPr>
                      <w:rFonts w:hint="eastAsia"/>
                      <w:sz w:val="18"/>
                      <w:szCs w:val="18"/>
                    </w:rPr>
                    <w:t>%；莴苣2</w:t>
                  </w:r>
                  <w:r>
                    <w:rPr>
                      <w:sz w:val="18"/>
                      <w:szCs w:val="18"/>
                    </w:rPr>
                    <w:t>0.7</w:t>
                  </w:r>
                  <w:r>
                    <w:rPr>
                      <w:rFonts w:hint="eastAsia"/>
                      <w:sz w:val="18"/>
                      <w:szCs w:val="18"/>
                    </w:rPr>
                    <w:t>%</w:t>
                  </w:r>
                </w:p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才华1</w:t>
                  </w:r>
                  <w:r>
                    <w:rPr>
                      <w:sz w:val="18"/>
                      <w:szCs w:val="18"/>
                    </w:rPr>
                    <w:t>9.8</w:t>
                  </w:r>
                  <w:r>
                    <w:rPr>
                      <w:rFonts w:hint="eastAsia"/>
                      <w:sz w:val="18"/>
                      <w:szCs w:val="18"/>
                    </w:rPr>
                    <w:t>%等，均在5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%以下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2022-0</w:t>
                  </w:r>
                  <w:r>
                    <w:rPr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-2</w:t>
                  </w: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年糕片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从合格供方采购，随货证据文件、数量、感官</w:t>
                  </w:r>
                </w:p>
              </w:tc>
              <w:tc>
                <w:tcPr>
                  <w:tcW w:w="2759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来自合格供方，感官无异常，数量3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斤，随货凭证有，自检或委检“正常”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022.1.15</w:t>
                  </w: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添加剂（泡打粉）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从合格供方采购，</w:t>
                  </w:r>
                </w:p>
              </w:tc>
              <w:tc>
                <w:tcPr>
                  <w:tcW w:w="2759" w:type="dxa"/>
                </w:tcPr>
                <w:p>
                  <w:pPr>
                    <w:pStyle w:val="2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来自合格供方，感官无异常，数量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箱，随货凭证有，自检或委检“正常”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2022-</w:t>
                  </w:r>
                  <w:r>
                    <w:rPr>
                      <w:sz w:val="18"/>
                      <w:szCs w:val="18"/>
                    </w:rPr>
                    <w:t>04</w:t>
                  </w:r>
                  <w:r>
                    <w:rPr>
                      <w:rFonts w:hint="eastAsia"/>
                      <w:sz w:val="18"/>
                      <w:szCs w:val="18"/>
                    </w:rPr>
                    <w:t>-2</w:t>
                  </w: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冻品（兴阳鸡脯肉、六和鸭胸等）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从合格供方采购，随货证据文件、数量、感官</w:t>
                  </w:r>
                </w:p>
              </w:tc>
              <w:tc>
                <w:tcPr>
                  <w:tcW w:w="2759" w:type="dxa"/>
                </w:tcPr>
                <w:p>
                  <w:pPr>
                    <w:pStyle w:val="3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来自合格供方，感官无异常，数量鸡脯肉1箱，六和鸭胸5箱，随货凭证有，自检或委检“正常”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2022-</w:t>
                  </w:r>
                  <w:r>
                    <w:rPr>
                      <w:sz w:val="18"/>
                      <w:szCs w:val="18"/>
                    </w:rPr>
                    <w:t>04</w:t>
                  </w:r>
                  <w:r>
                    <w:rPr>
                      <w:rFonts w:hint="eastAsia"/>
                      <w:sz w:val="18"/>
                      <w:szCs w:val="18"/>
                    </w:rPr>
                    <w:t>-2</w:t>
                  </w: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禽类（鸡胴体）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从合格供方采购，数量，外观完好，动物检疫合格证明</w:t>
                  </w:r>
                </w:p>
              </w:tc>
              <w:tc>
                <w:tcPr>
                  <w:tcW w:w="2759" w:type="dxa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合格供方采购、数量（三黄鸡8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71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斤，乌鸡6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斤），外观完好，动物检疫合格证明（N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O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.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3432531729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2022-0</w:t>
                  </w:r>
                  <w:r>
                    <w:rPr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-14</w:t>
                  </w: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猪肉（中方）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从合格供方采购，数量，外观完好，动物检疫合格证明</w:t>
                  </w:r>
                </w:p>
              </w:tc>
              <w:tc>
                <w:tcPr>
                  <w:tcW w:w="2759" w:type="dxa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合格供方采购、</w:t>
                  </w:r>
                  <w:r>
                    <w:rPr>
                      <w:rFonts w:hint="eastAsia"/>
                      <w:sz w:val="18"/>
                      <w:szCs w:val="18"/>
                    </w:rPr>
                    <w:t>外观完好，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数量7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kg，外观合格，</w:t>
                  </w:r>
                  <w:r>
                    <w:rPr>
                      <w:rFonts w:hint="eastAsia"/>
                      <w:sz w:val="18"/>
                      <w:szCs w:val="18"/>
                    </w:rPr>
                    <w:t>浙江省食用农产品统一销售凭证、肉品品质检验合格证（0</w:t>
                  </w:r>
                  <w:r>
                    <w:rPr>
                      <w:sz w:val="18"/>
                      <w:szCs w:val="18"/>
                    </w:rPr>
                    <w:t>1113963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rFonts w:ascii="Segoe UI Symbol" w:hAnsi="Segoe UI Symbol" w:cs="Segoe UI Symbo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《鼎香央厨自查审核表 》：内容包括人员管理、原料收货控制、基础卫生设施、存储与发货等1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大类，并细化到各具体小类，共计1</w:t>
            </w:r>
            <w:r>
              <w:rPr>
                <w:u w:val="single"/>
              </w:rPr>
              <w:t>00</w:t>
            </w:r>
            <w:r>
              <w:rPr>
                <w:rFonts w:hint="eastAsia"/>
                <w:u w:val="single"/>
              </w:rPr>
              <w:t>分（另外有1</w:t>
            </w:r>
            <w:r>
              <w:rPr>
                <w:u w:val="single"/>
              </w:rPr>
              <w:t>5</w:t>
            </w:r>
            <w:r>
              <w:rPr>
                <w:rFonts w:hint="eastAsia"/>
                <w:u w:val="single"/>
              </w:rPr>
              <w:t>项红线扣分点），有相应的审核细则，抽查2</w:t>
            </w:r>
            <w:r>
              <w:rPr>
                <w:u w:val="single"/>
              </w:rPr>
              <w:t>022.4.19</w:t>
            </w:r>
            <w:r>
              <w:rPr>
                <w:rFonts w:hint="eastAsia"/>
                <w:u w:val="single"/>
              </w:rPr>
              <w:t>，由陈吉利等进行检查，有净筐未离地摆放、洗手区酒精消毒液缺失等问题，最后得分8</w:t>
            </w:r>
            <w:r>
              <w:rPr>
                <w:u w:val="single"/>
              </w:rPr>
              <w:t>6</w:t>
            </w:r>
            <w:r>
              <w:rPr>
                <w:rFonts w:hint="eastAsia"/>
                <w:u w:val="single"/>
              </w:rPr>
              <w:t>分，合规扣分：无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pStyle w:val="8"/>
              <w:ind w:left="0" w:firstLine="0" w:firstLineChars="0"/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《检验记录》，对菜肴中心温度等通过中央厨房进行检查，见中央厨房审核记录。</w:t>
            </w:r>
          </w:p>
          <w:tbl>
            <w:tblPr>
              <w:tblStyle w:val="10"/>
              <w:tblW w:w="86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2"/>
              <w:gridCol w:w="1391"/>
              <w:gridCol w:w="979"/>
              <w:gridCol w:w="1298"/>
              <w:gridCol w:w="242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732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91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979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298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429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732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2</w:t>
                  </w:r>
                  <w:r>
                    <w:rPr>
                      <w:rFonts w:hint="eastAsia"/>
                    </w:rPr>
                    <w:t>-21</w:t>
                  </w:r>
                </w:p>
              </w:tc>
              <w:tc>
                <w:tcPr>
                  <w:tcW w:w="139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0220221</w:t>
                  </w:r>
                </w:p>
                <w:p>
                  <w:pPr>
                    <w:pStyle w:val="2"/>
                  </w:pPr>
                  <w:r>
                    <w:t>B</w:t>
                  </w:r>
                  <w:r>
                    <w:rPr>
                      <w:rFonts w:hint="eastAsia"/>
                    </w:rPr>
                    <w:t>中餐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t>1200</w:t>
                  </w:r>
                  <w:r>
                    <w:rPr>
                      <w:rFonts w:hint="eastAsia"/>
                    </w:rPr>
                    <w:t>份</w:t>
                  </w:r>
                </w:p>
              </w:tc>
              <w:tc>
                <w:tcPr>
                  <w:tcW w:w="979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8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色、臭和味、肉眼可见物、净含量</w:t>
                  </w:r>
                  <w:r>
                    <w:t>540</w:t>
                  </w:r>
                  <w:r>
                    <w:rPr>
                      <w:rFonts w:hint="eastAsia"/>
                    </w:rPr>
                    <w:t>g、外观、庐阳等</w:t>
                  </w:r>
                </w:p>
              </w:tc>
              <w:tc>
                <w:tcPr>
                  <w:tcW w:w="2429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无异色；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无异臭异味；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无其他异物；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净含量</w:t>
                  </w:r>
                  <w:r>
                    <w:t>550</w:t>
                  </w:r>
                  <w:r>
                    <w:rPr>
                      <w:rFonts w:hint="eastAsia"/>
                    </w:rPr>
                    <w:t>g；无渗漏；标签齐全清晰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3" w:hRule="atLeast"/>
              </w:trPr>
              <w:tc>
                <w:tcPr>
                  <w:tcW w:w="732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5</w:t>
                  </w:r>
                  <w:r>
                    <w:rPr>
                      <w:rFonts w:hint="eastAsia"/>
                    </w:rPr>
                    <w:t>-</w:t>
                  </w:r>
                  <w:r>
                    <w:t>02</w:t>
                  </w:r>
                </w:p>
              </w:tc>
              <w:tc>
                <w:tcPr>
                  <w:tcW w:w="139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0220502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B中餐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10</w:t>
                  </w:r>
                  <w:r>
                    <w:rPr>
                      <w:rFonts w:hint="eastAsia"/>
                    </w:rPr>
                    <w:t>份</w:t>
                  </w:r>
                </w:p>
              </w:tc>
              <w:tc>
                <w:tcPr>
                  <w:tcW w:w="979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8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色、臭和味、肉眼可见物、净含量</w:t>
                  </w:r>
                  <w:r>
                    <w:t>540</w:t>
                  </w:r>
                  <w:r>
                    <w:rPr>
                      <w:rFonts w:hint="eastAsia"/>
                    </w:rPr>
                    <w:t>g、外观、庐阳等</w:t>
                  </w:r>
                </w:p>
              </w:tc>
              <w:tc>
                <w:tcPr>
                  <w:tcW w:w="2429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无异色；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无异臭异味；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无其他异物；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净含量</w:t>
                  </w:r>
                  <w:r>
                    <w:t>552</w:t>
                  </w:r>
                  <w:r>
                    <w:rPr>
                      <w:rFonts w:hint="eastAsia"/>
                    </w:rPr>
                    <w:t>g；无渗漏；标签齐全清晰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0" w:hRule="atLeast"/>
              </w:trPr>
              <w:tc>
                <w:tcPr>
                  <w:tcW w:w="732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5</w:t>
                  </w:r>
                  <w:r>
                    <w:rPr>
                      <w:rFonts w:hint="eastAsia"/>
                    </w:rPr>
                    <w:t>-</w:t>
                  </w:r>
                  <w:r>
                    <w:t>05</w:t>
                  </w:r>
                </w:p>
              </w:tc>
              <w:tc>
                <w:tcPr>
                  <w:tcW w:w="1391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02200505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B中餐</w:t>
                  </w:r>
                </w:p>
              </w:tc>
              <w:tc>
                <w:tcPr>
                  <w:tcW w:w="979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8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色、臭和味、肉眼可见物、净含量</w:t>
                  </w:r>
                  <w:r>
                    <w:t>470</w:t>
                  </w:r>
                  <w:r>
                    <w:rPr>
                      <w:rFonts w:hint="eastAsia"/>
                    </w:rPr>
                    <w:t>g、外观、庐阳等</w:t>
                  </w:r>
                </w:p>
              </w:tc>
              <w:tc>
                <w:tcPr>
                  <w:tcW w:w="2429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无异色；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无异臭异味；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无其他异物；</w:t>
                  </w:r>
                </w:p>
                <w:p>
                  <w:pPr>
                    <w:pStyle w:val="2"/>
                  </w:pPr>
                  <w:r>
                    <w:rPr>
                      <w:rFonts w:hint="eastAsia"/>
                    </w:rPr>
                    <w:t>净含量</w:t>
                  </w:r>
                  <w:r>
                    <w:t>481</w:t>
                  </w:r>
                  <w:r>
                    <w:rPr>
                      <w:rFonts w:hint="eastAsia"/>
                    </w:rPr>
                    <w:t>g；无渗漏；标签齐全清晰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732" w:type="dxa"/>
                </w:tcPr>
                <w:p/>
              </w:tc>
              <w:tc>
                <w:tcPr>
                  <w:tcW w:w="1391" w:type="dxa"/>
                </w:tcPr>
                <w:p>
                  <w:pPr>
                    <w:pStyle w:val="2"/>
                  </w:pPr>
                </w:p>
              </w:tc>
              <w:tc>
                <w:tcPr>
                  <w:tcW w:w="979" w:type="dxa"/>
                </w:tcPr>
                <w:p/>
              </w:tc>
              <w:tc>
                <w:tcPr>
                  <w:tcW w:w="1298" w:type="dxa"/>
                </w:tcPr>
                <w:p>
                  <w:pPr>
                    <w:spacing w:line="280" w:lineRule="exact"/>
                    <w:rPr>
                      <w:bCs/>
                      <w:spacing w:val="10"/>
                    </w:rPr>
                  </w:pPr>
                </w:p>
              </w:tc>
              <w:tc>
                <w:tcPr>
                  <w:tcW w:w="2429" w:type="dxa"/>
                </w:tcPr>
                <w:p>
                  <w:pPr>
                    <w:pStyle w:val="2"/>
                  </w:pP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732" w:type="dxa"/>
                </w:tcPr>
                <w:p/>
              </w:tc>
              <w:tc>
                <w:tcPr>
                  <w:tcW w:w="1391" w:type="dxa"/>
                </w:tcPr>
                <w:p>
                  <w:pPr>
                    <w:pStyle w:val="2"/>
                  </w:pPr>
                </w:p>
              </w:tc>
              <w:tc>
                <w:tcPr>
                  <w:tcW w:w="979" w:type="dxa"/>
                </w:tcPr>
                <w:p/>
              </w:tc>
              <w:tc>
                <w:tcPr>
                  <w:tcW w:w="1298" w:type="dxa"/>
                </w:tcPr>
                <w:p>
                  <w:pPr>
                    <w:spacing w:line="280" w:lineRule="exact"/>
                  </w:pPr>
                </w:p>
              </w:tc>
              <w:tc>
                <w:tcPr>
                  <w:tcW w:w="2429" w:type="dxa"/>
                </w:tcPr>
                <w:p>
                  <w:pPr>
                    <w:pStyle w:val="2"/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 主要还是通过现场管理，见综合管理部（配送部）审核记录 》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247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43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1129" w:type="dxa"/>
          </w:tcPr>
          <w:p>
            <w:r>
              <w:rPr>
                <w:rFonts w:hint="eastAsia"/>
                <w:lang w:val="en-US" w:eastAsia="zh-CN"/>
              </w:rPr>
              <w:t>视频/</w:t>
            </w:r>
            <w:r>
              <w:rPr>
                <w:rFonts w:hint="eastAsia"/>
              </w:rPr>
              <w:t>现场观察</w:t>
            </w:r>
          </w:p>
        </w:tc>
        <w:tc>
          <w:tcPr>
            <w:tcW w:w="9503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不符合， </w:t>
            </w:r>
          </w:p>
        </w:tc>
        <w:tc>
          <w:tcPr>
            <w:tcW w:w="1247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182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与 PRP、危害控制计划有关的验证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F8.8.1</w:t>
            </w:r>
          </w:p>
          <w:p>
            <w:r>
              <w:rPr>
                <w:rFonts w:hint="eastAsia"/>
              </w:rPr>
              <w:t xml:space="preserve">H（V1.0）4.5 </w:t>
            </w:r>
          </w:p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《危害分析和HACCP计划制定、实施和验证管理程序》</w:t>
            </w:r>
          </w:p>
          <w:p>
            <w:r>
              <w:rPr>
                <w:rFonts w:hint="eastAsia"/>
              </w:rPr>
              <w:t>验证程序包括：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验证的依据和方法、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验证的频率、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验证的人员、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验证的内容、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验证结果及采取的措施、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验证记录、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7" w:hRule="atLeast"/>
        </w:trPr>
        <w:tc>
          <w:tcPr>
            <w:tcW w:w="1829" w:type="dxa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组织建立、实施和保持验证活动，。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78"/>
              <w:gridCol w:w="1323"/>
              <w:gridCol w:w="2650"/>
              <w:gridCol w:w="1546"/>
              <w:gridCol w:w="13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78" w:type="dxa"/>
                </w:tcPr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目的</w:t>
                  </w:r>
                </w:p>
              </w:tc>
              <w:tc>
                <w:tcPr>
                  <w:tcW w:w="1323" w:type="dxa"/>
                </w:tcPr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方法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频次</w:t>
                  </w:r>
                </w:p>
              </w:tc>
              <w:tc>
                <w:tcPr>
                  <w:tcW w:w="1546" w:type="dxa"/>
                </w:tcPr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职责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3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首次运行或变更后</w:t>
                  </w:r>
                </w:p>
              </w:tc>
              <w:tc>
                <w:tcPr>
                  <w:tcW w:w="15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3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每年1次</w:t>
                  </w:r>
                </w:p>
              </w:tc>
              <w:tc>
                <w:tcPr>
                  <w:tcW w:w="15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32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5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32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检查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</w:t>
                  </w:r>
                </w:p>
              </w:tc>
              <w:tc>
                <w:tcPr>
                  <w:tcW w:w="15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7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32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546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t>验证活动采用方式：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观察、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外部审核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校准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抽样检测验证产品的安全性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记录评审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环境采样和检测（委托万向学院定期进行）。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3"/>
              <w:gridCol w:w="1545"/>
              <w:gridCol w:w="1100"/>
              <w:gridCol w:w="1800"/>
              <w:gridCol w:w="121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样品名称/批次</w:t>
                  </w:r>
                </w:p>
              </w:tc>
              <w:tc>
                <w:tcPr>
                  <w:tcW w:w="1100" w:type="dxa"/>
                </w:tcPr>
                <w:p>
                  <w:r>
                    <w:rPr>
                      <w:rFonts w:hint="eastAsia"/>
                    </w:rPr>
                    <w:t>送检方式</w:t>
                  </w:r>
                </w:p>
              </w:tc>
              <w:tc>
                <w:tcPr>
                  <w:tcW w:w="180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报告编号</w:t>
                  </w:r>
                </w:p>
              </w:tc>
              <w:tc>
                <w:tcPr>
                  <w:tcW w:w="1219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33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-03-14【海康威视食堂餐食】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酸菜小炒肉/2022-03-03</w:t>
                  </w:r>
                </w:p>
              </w:tc>
              <w:tc>
                <w:tcPr>
                  <w:tcW w:w="1100" w:type="dxa"/>
                </w:tcPr>
                <w:p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800" w:type="dxa"/>
                </w:tcPr>
                <w:p>
                  <w:r>
                    <w:rPr>
                      <w:rFonts w:hint="eastAsia"/>
                    </w:rPr>
                    <w:t>HZ-W22030462</w:t>
                  </w:r>
                </w:p>
              </w:tc>
              <w:tc>
                <w:tcPr>
                  <w:tcW w:w="121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-03-14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33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-03-25【海康威视餐具】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筷子/2022-03-16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800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HZ-W22031059</w:t>
                  </w:r>
                </w:p>
              </w:tc>
              <w:tc>
                <w:tcPr>
                  <w:tcW w:w="1219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-03-25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3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2022-03-17【鼎香】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萝卜丝瘦肉汤/2022-03-1</w:t>
                  </w:r>
                  <w:r>
                    <w:t>1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80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No.22CF0311011</w:t>
                  </w:r>
                </w:p>
              </w:tc>
              <w:tc>
                <w:tcPr>
                  <w:tcW w:w="121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2022-03-17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1333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2022-03-17【鼎香】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油爆虾/2022-03-10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800" w:type="dxa"/>
                </w:tcPr>
                <w:p>
                  <w:pPr>
                    <w:widowControl/>
                    <w:jc w:val="left"/>
                    <w:rPr>
                      <w:highlight w:val="yellow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No.22CF0310011</w:t>
                  </w:r>
                </w:p>
              </w:tc>
              <w:tc>
                <w:tcPr>
                  <w:tcW w:w="1219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2022-03-17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1333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2022-03-17【鼎香】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汤碗/2022-03-10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800" w:type="dxa"/>
                </w:tcPr>
                <w:p>
                  <w:pPr>
                    <w:widowControl/>
                    <w:jc w:val="left"/>
                    <w:rPr>
                      <w:highlight w:val="yellow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No.22CQ0310001</w:t>
                  </w:r>
                </w:p>
              </w:tc>
              <w:tc>
                <w:tcPr>
                  <w:tcW w:w="1219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t>2022-03-17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1333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-05-06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生产加工用水</w:t>
                  </w:r>
                </w:p>
              </w:tc>
              <w:tc>
                <w:tcPr>
                  <w:tcW w:w="1100" w:type="dxa"/>
                </w:tcPr>
                <w:p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800" w:type="dxa"/>
                </w:tcPr>
                <w:p>
                  <w:r>
                    <w:t>H</w:t>
                  </w:r>
                  <w:r>
                    <w:rPr>
                      <w:rFonts w:hint="eastAsia"/>
                    </w:rPr>
                    <w:t>Z-W22041006</w:t>
                  </w:r>
                </w:p>
              </w:tc>
              <w:tc>
                <w:tcPr>
                  <w:tcW w:w="121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-05-06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《危害分析和HACCP计划制定、实施和验证管理程序》的内容包括：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内容全面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内容不全面，说明：</w:t>
            </w:r>
            <w:r>
              <w:rPr>
                <w:rFonts w:hint="eastAsia"/>
                <w:u w:val="single"/>
              </w:rPr>
              <w:t xml:space="preserve">   2022-03-28 </w:t>
            </w:r>
            <w:r>
              <w:rPr>
                <w:rFonts w:hint="eastAsia"/>
              </w:rPr>
              <w:t>进行验证</w:t>
            </w:r>
          </w:p>
          <w:p>
            <w:pPr>
              <w:pStyle w:val="2"/>
              <w:rPr>
                <w:color w:val="0000FF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抽取作业环境（人员、空气、工器具、接触面等）检验相关记录名称：《鼎香央厨自查审核表 》：内容包括人员管理、原料收货控制、基础卫生设施、存储与发货等11大类，并细化到各具体小类，共计100分（另外有15项红线扣分点），有相应的审核细则，抽查2022.4.19，由陈吉利等进行检查，有净筐未离地摆放、洗手区酒精消毒液缺失等问题，最后得分86分，合规扣分：无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  <w:highlight w:val="yellow"/>
              </w:rPr>
              <w:t>有委托外部高校开展现场微生物验证，因疫情影响，暂未开展，现场沟通。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color w:val="0000FF"/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《—— 》，日常以生产管理人员进行检查为主，未保留相应证据。提供有生产用水的第三方检测报告。报告结论合格，报告日期：2022-05-06；包括氰化物、铅、砷、汞、镉、总大肠菌群、耐热大肠菌群、大肠埃希氏菌等4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项。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FF"/>
                    </w:rPr>
                  </w:pPr>
                </w:p>
              </w:tc>
            </w:tr>
          </w:tbl>
          <w:p>
            <w:pPr>
              <w:pStyle w:val="2"/>
              <w:rPr>
                <w:color w:val="0000FF"/>
                <w:u w:val="single"/>
              </w:rPr>
            </w:pPr>
          </w:p>
          <w:p>
            <w:r>
              <w:rPr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>
              <w:rPr>
                <w:b/>
                <w:bCs/>
                <w:szCs w:val="21"/>
                <w:u w:val="single"/>
              </w:rPr>
              <w:t>未发现不安全产品</w:t>
            </w:r>
          </w:p>
          <w:p>
            <w:pPr>
              <w:pStyle w:val="2"/>
              <w:rPr>
                <w:color w:val="0000FF"/>
              </w:rPr>
            </w:pPr>
          </w:p>
          <w:p>
            <w:r>
              <w:rPr>
                <w:rFonts w:hint="eastAsia"/>
              </w:rPr>
              <w:t>验证的结果需要输入到管理评审中，以确保这些重要数据资源能被适当考虑并对整个H</w:t>
            </w:r>
            <w:r>
              <w:t>ACCP</w:t>
            </w:r>
            <w:r>
              <w:rPr>
                <w:rFonts w:hint="eastAsia"/>
              </w:rPr>
              <w:t>体系持续改进其作用；</w:t>
            </w:r>
          </w:p>
          <w:p>
            <w:pPr>
              <w:rPr>
                <w:color w:val="0000FF"/>
                <w:u w:val="single"/>
              </w:rPr>
            </w:pPr>
            <w:r>
              <w:rPr>
                <w:rFonts w:hint="eastAsia"/>
              </w:rPr>
              <w:t>见</w:t>
            </w:r>
            <w:r>
              <w:rPr>
                <w:rFonts w:hint="eastAsia"/>
                <w:u w:val="single"/>
              </w:rPr>
              <w:t>《管理评审 2022-04-08日 》、《验证结果分析分析报告》2022-04-05日</w:t>
            </w:r>
          </w:p>
          <w:p>
            <w:r>
              <w:rPr>
                <w:rFonts w:hint="eastAsia"/>
              </w:rPr>
              <w:t>当验证结果不符合要求时，应采取纠正措施并进行再验证。</w:t>
            </w:r>
          </w:p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t>验证活动证实：</w:t>
            </w:r>
          </w:p>
          <w:p>
            <w:r>
              <w:rPr>
                <w:rFonts w:hint="eastAsia"/>
              </w:rPr>
              <w:t>—HACCP计划得以实施，并持续控制危害；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有效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失效，说明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</w:p>
          <w:p>
            <w:r>
              <w:rPr>
                <w:rFonts w:hint="eastAsia"/>
              </w:rPr>
              <w:t xml:space="preserve">—控制措施按照预期有效控制相应危害。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有效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失效，说明</w:t>
            </w:r>
            <w:r>
              <w:rPr>
                <w:rFonts w:hint="eastAsia"/>
                <w:u w:val="single"/>
              </w:rPr>
              <w:t xml:space="preserve">                           </w:t>
            </w:r>
          </w:p>
          <w:p/>
          <w:p>
            <w:r>
              <w:rPr>
                <w:rFonts w:hint="eastAsia"/>
              </w:rPr>
              <w:t>验证不应由实施监控和纠正措施的人员进行。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t>如部分验证活动无法由企业内部实施，可委托具备能力的外部专家或第三方实施。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外部专家或第三方名称：</w:t>
            </w:r>
            <w:r>
              <w:rPr>
                <w:rFonts w:hint="eastAsia"/>
                <w:u w:val="single"/>
              </w:rPr>
              <w:t>中谱安信（杭州）检测科技有限公司/绿城农科检测技术有限公司   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外委验证的内容：</w:t>
            </w:r>
            <w:r>
              <w:rPr>
                <w:rFonts w:hint="eastAsia"/>
                <w:u w:val="single"/>
              </w:rPr>
              <w:t>主要是对成品主食、热菜类、餐具的安全特性指标，具体见验证报告。见食品安全小组F8.5.3审核记录。</w:t>
            </w:r>
          </w:p>
          <w:p>
            <w:pPr>
              <w:pStyle w:val="3"/>
            </w:pPr>
            <w:r>
              <w:rPr>
                <w:rFonts w:hint="eastAsia"/>
                <w:sz w:val="21"/>
                <w:szCs w:val="21"/>
              </w:rPr>
              <w:t>应定期对HACCP体系充分性进行评审，适用时进行重新评审。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《不合格品/潜在不安全产品控制程序》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总经理宣轩、食品安全小组组长赵立琦    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总经理宣轩、食品安全小组组长赵立琦   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《纠正及预防措施控制程序》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审核周期内未发生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  <w:p>
            <w:pPr>
              <w:pStyle w:val="2"/>
            </w:pPr>
            <w:r>
              <w:rPr>
                <w:rFonts w:hint="eastAsia"/>
              </w:rPr>
              <w:t>H5.1.2</w:t>
            </w:r>
          </w:p>
          <w:p>
            <w:pPr>
              <w:pStyle w:val="2"/>
            </w:pP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《纠正及预防措施控制程序》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其他——审核周期内未发生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——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《纠正及预防措施控制程序》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《不合格品/潜在不安全产品控制程序》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总经理宣轩、食品安全小组组长赵立琦 </w:t>
            </w:r>
            <w:r>
              <w:rPr>
                <w:rFonts w:hint="eastAsia"/>
              </w:rPr>
              <w:t xml:space="preserve"> 。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不合格品的处理/控制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Q8.7</w:t>
            </w:r>
          </w:p>
          <w:p>
            <w:r>
              <w:rPr>
                <w:rFonts w:hint="eastAsia"/>
              </w:rPr>
              <w:t>F8.9.4.3</w:t>
            </w:r>
          </w:p>
          <w:p>
            <w:r>
              <w:rPr>
                <w:rFonts w:hint="eastAsia"/>
              </w:rPr>
              <w:t>H5.1.3</w:t>
            </w:r>
          </w:p>
          <w:p>
            <w:pPr>
              <w:pStyle w:val="2"/>
            </w:pPr>
            <w:r>
              <w:rPr>
                <w:rFonts w:hint="eastAsia"/>
              </w:rPr>
              <w:t>H5.1.1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《纠正及预防措施控制程序》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《不合格品/潜在不安全产品控制程序》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审核周期内未发生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6"/>
              <w:gridCol w:w="1590"/>
              <w:gridCol w:w="1690"/>
              <w:gridCol w:w="3230"/>
              <w:gridCol w:w="18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36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9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69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230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897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90" w:type="dxa"/>
                </w:tcPr>
                <w:p/>
              </w:tc>
              <w:tc>
                <w:tcPr>
                  <w:tcW w:w="1690" w:type="dxa"/>
                </w:tcPr>
                <w:p/>
              </w:tc>
              <w:tc>
                <w:tcPr>
                  <w:tcW w:w="323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/>
              </w:tc>
              <w:tc>
                <w:tcPr>
                  <w:tcW w:w="1590" w:type="dxa"/>
                </w:tcPr>
                <w:p/>
              </w:tc>
              <w:tc>
                <w:tcPr>
                  <w:tcW w:w="1690" w:type="dxa"/>
                </w:tcPr>
                <w:p/>
              </w:tc>
              <w:tc>
                <w:tcPr>
                  <w:tcW w:w="323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9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审核周期内未发生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审核周期内未发生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审核周期内未发生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审核周期内未发生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视频/</w:t>
            </w:r>
            <w:r>
              <w:rPr>
                <w:rFonts w:hint="eastAsia"/>
              </w:rPr>
              <w:t>现场观察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 xml:space="preserve">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不符合，不涉及</w:t>
            </w:r>
          </w:p>
          <w:p>
            <w:r>
              <w:rPr>
                <w:rFonts w:hint="eastAsia"/>
              </w:rPr>
              <w:t xml:space="preserve">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不符合，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t>分析与评价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管理</w:t>
            </w:r>
            <w:r>
              <w:rPr>
                <w:rFonts w:hint="eastAsia"/>
              </w:rPr>
              <w:t>手册9</w:t>
            </w:r>
            <w:r>
              <w:t>.1.3/9.1.6</w:t>
            </w:r>
            <w:r>
              <w:rPr>
                <w:rFonts w:hint="eastAsia"/>
              </w:rPr>
              <w:t>条款、《数据分析控制程序》、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/>
          <w:p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>
            <w:r>
              <w:rPr>
                <w:rFonts w:hint="eastAsia"/>
              </w:rPr>
              <w:t xml:space="preserve">组织应分析和评价通过监视和测量获得的适当的数据和信息。 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□因果图 □柱状图 □ 饼状图 □SPC图 □排列图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rPr>
                <w:rFonts w:hint="eastAsia"/>
                <w:u w:val="single"/>
              </w:rPr>
              <w:t xml:space="preserve">见《管理评审报告》 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843" w:type="dxa"/>
            <w:gridSpan w:val="2"/>
            <w:vMerge w:val="restart"/>
            <w:shd w:val="clear" w:color="auto" w:fill="auto"/>
          </w:tcPr>
          <w:p>
            <w:r>
              <w:t>分析与评价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F9.1.2</w:t>
            </w:r>
          </w:p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管理</w:t>
            </w:r>
            <w:r>
              <w:rPr>
                <w:rFonts w:hint="eastAsia"/>
              </w:rPr>
              <w:t>手册9</w:t>
            </w:r>
            <w:r>
              <w:t>.1.3/9.1.6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《数据分析控制程序》、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43" w:type="dxa"/>
            <w:gridSpan w:val="2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129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shd w:val="clear" w:color="auto" w:fill="auto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与PRP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外部审核有关的验证的结果。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>□因果图 □柱状图 □ 饼状图 □SPC图 □排列图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t>进行分析：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>确认系统的总体绩效满足组织制定的计划安排和FSMS要求；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确定更新或改进FSMS的必要性；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识别潜在不安全产品或工艺故障发生率较高的趋势；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建立与拟审核领域的现状和重要性有关的内部审核方案策划信息；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提供纠正和纠正措施有效的证据。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  <w:u w:val="single"/>
              </w:rPr>
              <w:t>提供《验证结果分析确认表》</w:t>
            </w:r>
          </w:p>
        </w:tc>
        <w:tc>
          <w:tcPr>
            <w:tcW w:w="1247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0" w:hRule="atLeast"/>
        </w:trPr>
        <w:tc>
          <w:tcPr>
            <w:tcW w:w="1843" w:type="dxa"/>
            <w:gridSpan w:val="2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92" w:type="dxa"/>
            <w:vMerge w:val="restart"/>
          </w:tcPr>
          <w:p>
            <w:r>
              <w:rPr>
                <w:rFonts w:hint="eastAsia"/>
              </w:rPr>
              <w:t>EO9.1.1</w:t>
            </w:r>
          </w:p>
        </w:tc>
        <w:tc>
          <w:tcPr>
            <w:tcW w:w="1129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管理手册9.1条款、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绩效、监视和测量控制程序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47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0" w:hRule="atLeast"/>
        </w:trPr>
        <w:tc>
          <w:tcPr>
            <w:tcW w:w="1843" w:type="dxa"/>
            <w:gridSpan w:val="2"/>
            <w:vMerge w:val="continue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1129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</w:tcPr>
          <w:p>
            <w:r>
              <w:rPr>
                <w:rFonts w:hint="eastAsia"/>
              </w:rPr>
              <w:t>监视、测量、分析和评价的内容：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能源消耗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消防安全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危化品管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特种设备管理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持证上岗人员管理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见7.2条款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废物回收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污染物处理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厨余垃圾，见中央厨房审核记录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rFonts w:hint="eastAsia" w:eastAsia="宋体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highlight w:val="none"/>
              </w:rPr>
              <w:t>抽取监视、测量、分析和评价相关记录名称：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>运行检查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记录见中央厨房审核记录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》</w:t>
            </w:r>
          </w:p>
          <w:tbl>
            <w:tblPr>
              <w:tblStyle w:val="10"/>
              <w:tblW w:w="906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4"/>
              <w:gridCol w:w="3096"/>
              <w:gridCol w:w="2382"/>
              <w:gridCol w:w="21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34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日期</w:t>
                  </w:r>
                </w:p>
              </w:tc>
              <w:tc>
                <w:tcPr>
                  <w:tcW w:w="3096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项目</w:t>
                  </w:r>
                </w:p>
              </w:tc>
              <w:tc>
                <w:tcPr>
                  <w:tcW w:w="2382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检查结果</w:t>
                  </w:r>
                </w:p>
              </w:tc>
              <w:tc>
                <w:tcPr>
                  <w:tcW w:w="2154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34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 w:val="21"/>
                      <w:szCs w:val="21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096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82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154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 xml:space="preserve">达标 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4" w:type="dxa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096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15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 xml:space="preserve">达标 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 xml:space="preserve">达标 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  <w:highlight w:val="none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pStyle w:val="2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pStyle w:val="2"/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rPr>
                      <w:rFonts w:hint="default" w:ascii="Times New Roman" w:hAnsi="Times New Roman" w:cs="Times New Roman"/>
                      <w:sz w:val="21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cyan"/>
                <w:u w:val="single"/>
              </w:rPr>
            </w:pPr>
          </w:p>
          <w:p>
            <w:pPr>
              <w:pStyle w:val="6"/>
              <w:spacing w:line="360" w:lineRule="auto"/>
              <w:rPr>
                <w:rFonts w:hint="default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>1）饮食油烟、生产废水、环境噪声，报告编号DYHB2204112，报告日期：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2022年4月22日，结论：合格</w:t>
            </w:r>
          </w:p>
        </w:tc>
        <w:tc>
          <w:tcPr>
            <w:tcW w:w="1247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8" w:hRule="atLeast"/>
        </w:trPr>
        <w:tc>
          <w:tcPr>
            <w:tcW w:w="1843" w:type="dxa"/>
            <w:gridSpan w:val="2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合规性评价</w:t>
            </w:r>
          </w:p>
        </w:tc>
        <w:tc>
          <w:tcPr>
            <w:tcW w:w="992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E</w:t>
            </w:r>
            <w:r>
              <w:rPr>
                <w:rFonts w:hint="eastAsia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highlight w:val="none"/>
              </w:rPr>
              <w:t>9.1.2</w:t>
            </w:r>
          </w:p>
        </w:tc>
        <w:tc>
          <w:tcPr>
            <w:tcW w:w="112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50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  <w:lang w:val="en-US" w:eastAsia="zh-CN"/>
              </w:rPr>
              <w:t>管理手册9.1 条款、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2"/>
                <w:szCs w:val="16"/>
                <w:highlight w:val="none"/>
              </w:rPr>
              <w:t>法律和其他要求控制程序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247" w:type="dxa"/>
            <w:gridSpan w:val="2"/>
            <w:vMerge w:val="restart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2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70" w:hRule="atLeast"/>
        </w:trPr>
        <w:tc>
          <w:tcPr>
            <w:tcW w:w="1843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12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503" w:type="dxa"/>
          </w:tcPr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自管理体系建立后/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近一年</w:t>
            </w:r>
            <w:r>
              <w:rPr>
                <w:rFonts w:hint="eastAsia"/>
                <w:color w:val="000000"/>
                <w:szCs w:val="18"/>
                <w:highlight w:val="none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随机抽取</w:t>
            </w:r>
            <w:r>
              <w:rPr>
                <w:rFonts w:hint="eastAsia"/>
                <w:color w:val="000000"/>
                <w:szCs w:val="18"/>
                <w:highlight w:val="none"/>
              </w:rPr>
              <w:t>合规义务如下：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《合规性评价记录》；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5"/>
              <w:gridCol w:w="1578"/>
              <w:gridCol w:w="1821"/>
              <w:gridCol w:w="19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合规义务</w:t>
                  </w:r>
                </w:p>
              </w:tc>
              <w:tc>
                <w:tcPr>
                  <w:tcW w:w="15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评价日期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评价概述或结果</w:t>
                  </w:r>
                </w:p>
              </w:tc>
              <w:tc>
                <w:tcPr>
                  <w:tcW w:w="19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</w:trPr>
              <w:tc>
                <w:tcPr>
                  <w:tcW w:w="3695" w:type="dxa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sz w:val="16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eastAsia="zh-CN"/>
                    </w:rPr>
                    <w:t>《中华人民共和国安全生产法》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sz w:val="16"/>
                      <w:szCs w:val="15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2022-03-06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eastAsia="zh-CN"/>
                    </w:rPr>
                    <w:t>《中华人民共和国消防法》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2022-03-06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rPr>
                      <w:rFonts w:hint="default"/>
                      <w:color w:val="000000"/>
                      <w:sz w:val="16"/>
                      <w:szCs w:val="13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工伤保险条例》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2022-03-06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eastAsia="zh-CN"/>
                    </w:rPr>
                    <w:t>《职业病防治法》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2022-03-06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中华人民共和国道路交通安全法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highlight w:val="none"/>
                      <w:lang w:eastAsia="zh-CN"/>
                    </w:rPr>
                    <w:t>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2022-03-06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《浙江省劳动防护用品管理办法》、《浙江省劳动保护条例》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6"/>
                      <w:szCs w:val="13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2022-03-06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未达标</w:t>
                  </w:r>
                </w:p>
              </w:tc>
              <w:tc>
                <w:tcPr>
                  <w:tcW w:w="194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highlight w:val="none"/>
                    </w:rPr>
                  </w:pPr>
                  <w:bookmarkStart w:id="0" w:name="_GoBack" w:colFirst="1" w:colLast="3"/>
                  <w:r>
                    <w:rPr>
                      <w:rFonts w:hint="eastAsia"/>
                      <w:highlight w:val="none"/>
                    </w:rPr>
                    <w:t>《浙江省女职工劳动保护办法》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6"/>
                      <w:szCs w:val="13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2022-03-06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未达标</w:t>
                  </w:r>
                </w:p>
              </w:tc>
              <w:tc>
                <w:tcPr>
                  <w:tcW w:w="19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《浙江省消防条例》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6"/>
                      <w:szCs w:val="13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2022-03-06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未达标</w:t>
                  </w:r>
                </w:p>
              </w:tc>
              <w:tc>
                <w:tcPr>
                  <w:tcW w:w="19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生产安全事故报告和调查处理条例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6"/>
                      <w:szCs w:val="13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2022-03-06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未达标</w:t>
                  </w:r>
                </w:p>
              </w:tc>
              <w:tc>
                <w:tcPr>
                  <w:tcW w:w="19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提供有合规性评价报告，评价时间：2022-03-06。</w:t>
            </w:r>
          </w:p>
        </w:tc>
        <w:tc>
          <w:tcPr>
            <w:tcW w:w="1247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不合格和纠正措施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Q</w:t>
            </w:r>
            <w:r>
              <w:t>EO</w:t>
            </w:r>
            <w:r>
              <w:rPr>
                <w:rFonts w:hint="eastAsia"/>
              </w:rPr>
              <w:t>10.</w:t>
            </w:r>
            <w:r>
              <w:t>2</w:t>
            </w:r>
            <w:r>
              <w:rPr>
                <w:rFonts w:hint="eastAsia"/>
              </w:rPr>
              <w:t>、F10.</w:t>
            </w:r>
            <w: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</w:t>
            </w:r>
            <w:r>
              <w:t>2</w:t>
            </w:r>
            <w:r>
              <w:rPr>
                <w:rFonts w:hint="eastAsia"/>
              </w:rPr>
              <w:t xml:space="preserve">条款 </w:t>
            </w:r>
            <w:r>
              <w:rPr>
                <w:rFonts w:hint="eastAsia"/>
              </w:rPr>
              <w:sym w:font="Wingdings" w:char="00FE"/>
            </w:r>
            <w:r>
              <w:rPr>
                <w:spacing w:val="-1"/>
                <w:sz w:val="24"/>
              </w:rPr>
              <w:t>《纠正及预防措施控制程序》</w:t>
            </w:r>
          </w:p>
        </w:tc>
        <w:tc>
          <w:tcPr>
            <w:tcW w:w="12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组织已持续改进质量/食品安全管理体系的适宜性、充分性和有效性，以提升食品安全绩效。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管理评审改进措施已落实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管理评审改进措施未落实的原因：                </w:t>
            </w:r>
          </w:p>
          <w:p>
            <w:r>
              <w:rPr>
                <w:rFonts w:hint="eastAsia"/>
              </w:rPr>
              <w:t>最高管理者应确保组织通过以下活动， 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2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11430</wp:posOffset>
          </wp:positionV>
          <wp:extent cx="366395" cy="368935"/>
          <wp:effectExtent l="0" t="0" r="0" b="0"/>
          <wp:wrapNone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11E43"/>
    <w:rsid w:val="00011FB1"/>
    <w:rsid w:val="000237F6"/>
    <w:rsid w:val="0003373A"/>
    <w:rsid w:val="000400E2"/>
    <w:rsid w:val="00056AF1"/>
    <w:rsid w:val="00062E46"/>
    <w:rsid w:val="00071522"/>
    <w:rsid w:val="00073A25"/>
    <w:rsid w:val="00087AB1"/>
    <w:rsid w:val="000A3CD0"/>
    <w:rsid w:val="000A4138"/>
    <w:rsid w:val="000C7763"/>
    <w:rsid w:val="000E6B21"/>
    <w:rsid w:val="00115772"/>
    <w:rsid w:val="00146A98"/>
    <w:rsid w:val="00161E82"/>
    <w:rsid w:val="0018079B"/>
    <w:rsid w:val="00182530"/>
    <w:rsid w:val="00191806"/>
    <w:rsid w:val="0019695B"/>
    <w:rsid w:val="00197D6E"/>
    <w:rsid w:val="001A2D7F"/>
    <w:rsid w:val="001A4C53"/>
    <w:rsid w:val="001A5EB9"/>
    <w:rsid w:val="001B5650"/>
    <w:rsid w:val="001C7DD2"/>
    <w:rsid w:val="001D2AA1"/>
    <w:rsid w:val="001D66EC"/>
    <w:rsid w:val="002027E8"/>
    <w:rsid w:val="00210A1B"/>
    <w:rsid w:val="002939AD"/>
    <w:rsid w:val="002D55DC"/>
    <w:rsid w:val="002D6755"/>
    <w:rsid w:val="002D6A33"/>
    <w:rsid w:val="002E7CBE"/>
    <w:rsid w:val="00314AF6"/>
    <w:rsid w:val="003244DA"/>
    <w:rsid w:val="00326B16"/>
    <w:rsid w:val="00337922"/>
    <w:rsid w:val="00340867"/>
    <w:rsid w:val="00353D03"/>
    <w:rsid w:val="00354758"/>
    <w:rsid w:val="003720EB"/>
    <w:rsid w:val="003730E3"/>
    <w:rsid w:val="00380837"/>
    <w:rsid w:val="003A198A"/>
    <w:rsid w:val="003B21C4"/>
    <w:rsid w:val="003B2496"/>
    <w:rsid w:val="003B4966"/>
    <w:rsid w:val="003D2334"/>
    <w:rsid w:val="003F131F"/>
    <w:rsid w:val="00401B39"/>
    <w:rsid w:val="00410914"/>
    <w:rsid w:val="00417D46"/>
    <w:rsid w:val="00423D3B"/>
    <w:rsid w:val="00432FD8"/>
    <w:rsid w:val="00474F25"/>
    <w:rsid w:val="00475EF2"/>
    <w:rsid w:val="0048201E"/>
    <w:rsid w:val="004A5262"/>
    <w:rsid w:val="004D2360"/>
    <w:rsid w:val="00501A98"/>
    <w:rsid w:val="005223A0"/>
    <w:rsid w:val="00536930"/>
    <w:rsid w:val="00564E53"/>
    <w:rsid w:val="0056561D"/>
    <w:rsid w:val="005775BF"/>
    <w:rsid w:val="005839B0"/>
    <w:rsid w:val="005B10BC"/>
    <w:rsid w:val="005B5735"/>
    <w:rsid w:val="005D5659"/>
    <w:rsid w:val="00600C20"/>
    <w:rsid w:val="00644FE2"/>
    <w:rsid w:val="00646446"/>
    <w:rsid w:val="006602E3"/>
    <w:rsid w:val="00670B28"/>
    <w:rsid w:val="00671910"/>
    <w:rsid w:val="0067640C"/>
    <w:rsid w:val="006A55E2"/>
    <w:rsid w:val="006A690C"/>
    <w:rsid w:val="006E678B"/>
    <w:rsid w:val="006E7B1D"/>
    <w:rsid w:val="006F277F"/>
    <w:rsid w:val="00721894"/>
    <w:rsid w:val="00727E9F"/>
    <w:rsid w:val="007337EC"/>
    <w:rsid w:val="0073558E"/>
    <w:rsid w:val="00744C1A"/>
    <w:rsid w:val="00747832"/>
    <w:rsid w:val="00751C5D"/>
    <w:rsid w:val="007606FB"/>
    <w:rsid w:val="007757F3"/>
    <w:rsid w:val="0079152F"/>
    <w:rsid w:val="007A3A97"/>
    <w:rsid w:val="007A7EAA"/>
    <w:rsid w:val="007B48F9"/>
    <w:rsid w:val="007C1B48"/>
    <w:rsid w:val="007C42FC"/>
    <w:rsid w:val="007D73D0"/>
    <w:rsid w:val="007E3B15"/>
    <w:rsid w:val="007E52E7"/>
    <w:rsid w:val="007E6AEB"/>
    <w:rsid w:val="007F0B9E"/>
    <w:rsid w:val="00834771"/>
    <w:rsid w:val="008512DB"/>
    <w:rsid w:val="0086301B"/>
    <w:rsid w:val="008630D0"/>
    <w:rsid w:val="00871C72"/>
    <w:rsid w:val="008973EE"/>
    <w:rsid w:val="008B2894"/>
    <w:rsid w:val="008E4A41"/>
    <w:rsid w:val="008E71AB"/>
    <w:rsid w:val="008F27E0"/>
    <w:rsid w:val="00904706"/>
    <w:rsid w:val="00912286"/>
    <w:rsid w:val="00932742"/>
    <w:rsid w:val="009425DE"/>
    <w:rsid w:val="009539C1"/>
    <w:rsid w:val="00954030"/>
    <w:rsid w:val="009548F6"/>
    <w:rsid w:val="00971600"/>
    <w:rsid w:val="009973B4"/>
    <w:rsid w:val="009C28C1"/>
    <w:rsid w:val="009F7EED"/>
    <w:rsid w:val="00A05BC6"/>
    <w:rsid w:val="00A10A43"/>
    <w:rsid w:val="00A22A49"/>
    <w:rsid w:val="00A31AE9"/>
    <w:rsid w:val="00A3554D"/>
    <w:rsid w:val="00A408B6"/>
    <w:rsid w:val="00A55742"/>
    <w:rsid w:val="00A7197C"/>
    <w:rsid w:val="00A776E3"/>
    <w:rsid w:val="00A80636"/>
    <w:rsid w:val="00A80EFB"/>
    <w:rsid w:val="00AB068B"/>
    <w:rsid w:val="00AC2EF9"/>
    <w:rsid w:val="00AC4344"/>
    <w:rsid w:val="00AE490C"/>
    <w:rsid w:val="00AE4E61"/>
    <w:rsid w:val="00AF0AAB"/>
    <w:rsid w:val="00B126C5"/>
    <w:rsid w:val="00B21204"/>
    <w:rsid w:val="00B2139B"/>
    <w:rsid w:val="00B55A10"/>
    <w:rsid w:val="00B7474A"/>
    <w:rsid w:val="00B93520"/>
    <w:rsid w:val="00BA2953"/>
    <w:rsid w:val="00BA321F"/>
    <w:rsid w:val="00BD01EA"/>
    <w:rsid w:val="00BF597E"/>
    <w:rsid w:val="00C03670"/>
    <w:rsid w:val="00C1488F"/>
    <w:rsid w:val="00C240F6"/>
    <w:rsid w:val="00C51A36"/>
    <w:rsid w:val="00C55228"/>
    <w:rsid w:val="00C57B3B"/>
    <w:rsid w:val="00C63768"/>
    <w:rsid w:val="00C82624"/>
    <w:rsid w:val="00CE315A"/>
    <w:rsid w:val="00D06F59"/>
    <w:rsid w:val="00D64EFB"/>
    <w:rsid w:val="00D81150"/>
    <w:rsid w:val="00D8388C"/>
    <w:rsid w:val="00DC5378"/>
    <w:rsid w:val="00DC6EA8"/>
    <w:rsid w:val="00DE63EC"/>
    <w:rsid w:val="00E0718D"/>
    <w:rsid w:val="00E23F03"/>
    <w:rsid w:val="00E6224C"/>
    <w:rsid w:val="00E672EC"/>
    <w:rsid w:val="00E903C5"/>
    <w:rsid w:val="00EA40B3"/>
    <w:rsid w:val="00EB0164"/>
    <w:rsid w:val="00EC4C9E"/>
    <w:rsid w:val="00ED0F62"/>
    <w:rsid w:val="00ED2C1D"/>
    <w:rsid w:val="00F0105D"/>
    <w:rsid w:val="00F22105"/>
    <w:rsid w:val="00F62F86"/>
    <w:rsid w:val="00F8015C"/>
    <w:rsid w:val="00F82E45"/>
    <w:rsid w:val="00FD5667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7DA1730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06703F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EF0947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EB1167"/>
    <w:rsid w:val="1FEB32F1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8749AB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482420"/>
    <w:rsid w:val="40571F31"/>
    <w:rsid w:val="40703368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6C3C56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4FFF36DC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32316C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9D54E6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2AB3"/>
    <w:rsid w:val="64D069A0"/>
    <w:rsid w:val="64F27E75"/>
    <w:rsid w:val="65067C78"/>
    <w:rsid w:val="65662197"/>
    <w:rsid w:val="658C79F9"/>
    <w:rsid w:val="659470B5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352A83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3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1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EB6C2-1F6C-4BEC-9C5D-FB67CF8C65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9800</Words>
  <Characters>11094</Characters>
  <Lines>99</Lines>
  <Paragraphs>28</Paragraphs>
  <TotalTime>0</TotalTime>
  <ScaleCrop>false</ScaleCrop>
  <LinksUpToDate>false</LinksUpToDate>
  <CharactersWithSpaces>11948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2022-05-08T13:23:00Z</dcterms:created>
  <dc:creator>微软用户</dc:creator>
  <cp:lastModifiedBy>肖新龙</cp:lastModifiedBy>
  <dcterms:modified xsi:type="dcterms:W3CDTF">2022-05-16T03:51:50Z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9AD9E22CB8DD4967A0CE8687200111A0</vt:lpwstr>
  </property>
</Properties>
</file>