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525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936"/>
        <w:gridCol w:w="745"/>
        <w:gridCol w:w="1022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968" w:type="dxa"/>
            <w:gridSpan w:val="2"/>
            <w:vAlign w:val="center"/>
          </w:tcPr>
          <w:p>
            <w:pPr>
              <w:rPr>
                <w:rFonts w:hint="eastAsia" w:eastAsia="宋体"/>
                <w:sz w:val="24"/>
                <w:szCs w:val="24"/>
                <w:lang w:eastAsia="zh-CN"/>
              </w:rPr>
            </w:pPr>
            <w:r>
              <w:rPr>
                <w:sz w:val="24"/>
                <w:szCs w:val="24"/>
              </w:rPr>
              <w:t xml:space="preserve">受审核部门：  食品安全小组         </w:t>
            </w:r>
            <w:r>
              <w:rPr>
                <w:color w:val="000000"/>
                <w:sz w:val="24"/>
                <w:szCs w:val="24"/>
              </w:rPr>
              <w:t>主管领导：</w:t>
            </w:r>
            <w:r>
              <w:rPr>
                <w:rFonts w:hint="eastAsia"/>
                <w:color w:val="000000"/>
                <w:sz w:val="24"/>
                <w:szCs w:val="24"/>
                <w:lang w:val="en-US" w:eastAsia="zh-CN"/>
              </w:rPr>
              <w:t xml:space="preserve">李梦  </w:t>
            </w:r>
            <w:r>
              <w:rPr>
                <w:color w:val="000000"/>
                <w:sz w:val="24"/>
                <w:szCs w:val="24"/>
              </w:rPr>
              <w:t xml:space="preserve"> 陪同人员：</w:t>
            </w:r>
            <w:r>
              <w:rPr>
                <w:rFonts w:hint="eastAsia"/>
                <w:sz w:val="24"/>
                <w:szCs w:val="24"/>
                <w:lang w:val="en-US" w:eastAsia="zh-CN"/>
              </w:rPr>
              <w:t>刘素琴</w:t>
            </w:r>
          </w:p>
        </w:tc>
        <w:tc>
          <w:tcPr>
            <w:tcW w:w="1181"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4" w:type="dxa"/>
            <w:vMerge w:val="continue"/>
            <w:vAlign w:val="center"/>
          </w:tcPr>
          <w:p/>
        </w:tc>
        <w:tc>
          <w:tcPr>
            <w:tcW w:w="936" w:type="dxa"/>
            <w:vMerge w:val="continue"/>
            <w:vAlign w:val="center"/>
          </w:tcPr>
          <w:p/>
        </w:tc>
        <w:tc>
          <w:tcPr>
            <w:tcW w:w="10968" w:type="dxa"/>
            <w:gridSpan w:val="2"/>
            <w:vAlign w:val="center"/>
          </w:tcPr>
          <w:p>
            <w:pPr>
              <w:spacing w:before="120"/>
              <w:rPr>
                <w:rFonts w:hint="default" w:eastAsia="宋体"/>
                <w:lang w:val="en-US" w:eastAsia="zh-CN"/>
              </w:rPr>
            </w:pPr>
            <w:r>
              <w:rPr>
                <w:sz w:val="24"/>
                <w:szCs w:val="24"/>
              </w:rPr>
              <w:t>审核员：</w:t>
            </w:r>
            <w:r>
              <w:rPr>
                <w:rFonts w:hint="eastAsia"/>
                <w:sz w:val="24"/>
                <w:szCs w:val="24"/>
                <w:lang w:val="en-US" w:eastAsia="zh-CN"/>
              </w:rPr>
              <w:t>肖新龙（远程）</w:t>
            </w:r>
            <w:r>
              <w:rPr>
                <w:sz w:val="24"/>
                <w:szCs w:val="24"/>
              </w:rPr>
              <w:t xml:space="preserve">   </w:t>
            </w:r>
            <w:r>
              <w:rPr>
                <w:rFonts w:hint="eastAsia"/>
                <w:sz w:val="24"/>
                <w:szCs w:val="24"/>
              </w:rPr>
              <w:t xml:space="preserve">     </w:t>
            </w:r>
            <w:r>
              <w:rPr>
                <w:sz w:val="24"/>
                <w:szCs w:val="24"/>
              </w:rPr>
              <w:t xml:space="preserve">   审核日期：20</w:t>
            </w:r>
            <w:r>
              <w:rPr>
                <w:rFonts w:hint="eastAsia"/>
                <w:sz w:val="24"/>
                <w:szCs w:val="24"/>
                <w:lang w:val="en-US" w:eastAsia="zh-CN"/>
              </w:rPr>
              <w:t>22-05-10</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4" w:type="dxa"/>
            <w:vMerge w:val="continue"/>
            <w:vAlign w:val="center"/>
          </w:tcPr>
          <w:p/>
        </w:tc>
        <w:tc>
          <w:tcPr>
            <w:tcW w:w="936" w:type="dxa"/>
            <w:vMerge w:val="continue"/>
            <w:vAlign w:val="center"/>
          </w:tcPr>
          <w:p/>
        </w:tc>
        <w:tc>
          <w:tcPr>
            <w:tcW w:w="10968" w:type="dxa"/>
            <w:gridSpan w:val="2"/>
            <w:vAlign w:val="center"/>
          </w:tcPr>
          <w:p>
            <w:pPr>
              <w:tabs>
                <w:tab w:val="left" w:pos="6030"/>
              </w:tabs>
              <w:autoSpaceDE w:val="0"/>
              <w:autoSpaceDN w:val="0"/>
              <w:adjustRightInd w:val="0"/>
              <w:jc w:val="left"/>
            </w:pPr>
            <w:r>
              <w:t>审核条款：FSMS:5.3/7.1.5/8.1/8.2/8.5/8.6/8.8/9.1.2</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4" w:type="dxa"/>
            <w:vMerge w:val="restart"/>
          </w:tcPr>
          <w:p>
            <w:r>
              <w:t>组织的角色、职责和权限</w:t>
            </w:r>
          </w:p>
        </w:tc>
        <w:tc>
          <w:tcPr>
            <w:tcW w:w="936" w:type="dxa"/>
            <w:vMerge w:val="restart"/>
          </w:tcPr>
          <w:p>
            <w:r>
              <w:t>F5.3</w:t>
            </w:r>
          </w:p>
        </w:tc>
        <w:tc>
          <w:tcPr>
            <w:tcW w:w="745" w:type="dxa"/>
          </w:tcPr>
          <w:p>
            <w:r>
              <w:t>文件名称</w:t>
            </w:r>
          </w:p>
        </w:tc>
        <w:tc>
          <w:tcPr>
            <w:tcW w:w="102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181"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74" w:type="dxa"/>
            <w:vMerge w:val="continue"/>
          </w:tcPr>
          <w:p/>
        </w:tc>
        <w:tc>
          <w:tcPr>
            <w:tcW w:w="936" w:type="dxa"/>
            <w:vMerge w:val="continue"/>
          </w:tcPr>
          <w:p/>
        </w:tc>
        <w:tc>
          <w:tcPr>
            <w:tcW w:w="745" w:type="dxa"/>
          </w:tcPr>
          <w:p>
            <w:r>
              <w:t>运行证据</w:t>
            </w:r>
          </w:p>
        </w:tc>
        <w:tc>
          <w:tcPr>
            <w:tcW w:w="10223" w:type="dxa"/>
          </w:tcPr>
          <w:p>
            <w:r>
              <w:t>有食品安全小组名单，包括了</w:t>
            </w:r>
            <w:r>
              <w:rPr>
                <w:rFonts w:hint="eastAsia"/>
              </w:rPr>
              <w:t xml:space="preserve"> </w:t>
            </w:r>
            <w:r>
              <w:rPr>
                <w:rFonts w:hint="eastAsia"/>
                <w:u w:val="single"/>
                <w:lang w:val="en-US" w:eastAsia="zh-CN"/>
              </w:rPr>
              <w:t>总经理、</w:t>
            </w:r>
            <w:r>
              <w:rPr>
                <w:bCs/>
                <w:u w:val="single"/>
              </w:rPr>
              <w:t>综合</w:t>
            </w:r>
            <w:r>
              <w:rPr>
                <w:rFonts w:hint="eastAsia"/>
                <w:bCs/>
                <w:u w:val="single"/>
                <w:lang w:val="en-US" w:eastAsia="zh-CN"/>
              </w:rPr>
              <w:t>部</w:t>
            </w:r>
            <w:r>
              <w:rPr>
                <w:bCs/>
                <w:u w:val="single"/>
              </w:rPr>
              <w:t>、</w:t>
            </w:r>
            <w:r>
              <w:rPr>
                <w:rFonts w:hint="eastAsia"/>
                <w:bCs/>
                <w:u w:val="single"/>
              </w:rPr>
              <w:t>配</w:t>
            </w:r>
            <w:r>
              <w:rPr>
                <w:bCs/>
                <w:u w:val="single"/>
              </w:rPr>
              <w:t>送</w:t>
            </w:r>
            <w:r>
              <w:rPr>
                <w:rFonts w:hint="eastAsia"/>
                <w:bCs/>
                <w:u w:val="single"/>
              </w:rPr>
              <w:t>部、品</w:t>
            </w:r>
            <w:r>
              <w:rPr>
                <w:rFonts w:hint="eastAsia"/>
                <w:bCs/>
                <w:u w:val="single"/>
                <w:lang w:val="en-US" w:eastAsia="zh-CN"/>
              </w:rPr>
              <w:t>控</w:t>
            </w:r>
            <w:r>
              <w:rPr>
                <w:rFonts w:hint="eastAsia"/>
                <w:bCs/>
                <w:u w:val="single"/>
              </w:rPr>
              <w:t xml:space="preserve">部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rPr>
              <w:t>聂敏</w:t>
            </w:r>
            <w:r>
              <w:t>，基本清楚。</w:t>
            </w:r>
          </w:p>
          <w:p>
            <w:pPr>
              <w:pStyle w:val="2"/>
              <w:rPr>
                <w:rFonts w:ascii="Times New Roman" w:hAnsi="Times New Roman"/>
              </w:rPr>
            </w:pPr>
          </w:p>
          <w:p>
            <w:r>
              <w:fldChar w:fldCharType="begin"/>
            </w:r>
            <w:r>
              <w:instrText xml:space="preserve"> eq \o\ac(□,√)</w:instrText>
            </w:r>
            <w:r>
              <w:fldChar w:fldCharType="end"/>
            </w:r>
            <w:r>
              <w:rPr>
                <w:rFonts w:hint="eastAsia"/>
                <w:lang w:val="en-US" w:eastAsia="zh-CN"/>
              </w:rPr>
              <w:t>食品安全小组</w:t>
            </w:r>
            <w:r>
              <w:t>组长：</w:t>
            </w:r>
            <w:r>
              <w:rPr>
                <w:rFonts w:hint="eastAsia" w:ascii="宋体" w:hAnsi="宋体"/>
                <w:szCs w:val="21"/>
                <w:u w:val="single"/>
                <w:lang w:val="en-US" w:eastAsia="zh-CN"/>
              </w:rPr>
              <w:t>李梦 女士</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74" w:type="dxa"/>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102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181"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运行证据</w:t>
            </w:r>
          </w:p>
        </w:tc>
        <w:tc>
          <w:tcPr>
            <w:tcW w:w="1022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shd w:val="clear" w:color="auto" w:fill="auto"/>
          </w:tcPr>
          <w:p>
            <w:r>
              <w:t>运行策划和控制</w:t>
            </w:r>
          </w:p>
        </w:tc>
        <w:tc>
          <w:tcPr>
            <w:tcW w:w="936" w:type="dxa"/>
            <w:vMerge w:val="restart"/>
            <w:shd w:val="clear" w:color="auto" w:fill="auto"/>
          </w:tcPr>
          <w:p>
            <w:r>
              <w:t>F8.1</w:t>
            </w:r>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人力资源管理和岗位培训程序</w:t>
            </w:r>
            <w:r>
              <w:t>》</w:t>
            </w:r>
            <w:r>
              <w:rPr/>
              <w:sym w:font="Wingdings" w:char="00A8"/>
            </w:r>
            <w:r>
              <w:t>《能力和意识控制程序》</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tcPr>
          <w:p>
            <w:r>
              <w:t>前提方案（PRP）</w:t>
            </w:r>
          </w:p>
        </w:tc>
        <w:tc>
          <w:tcPr>
            <w:tcW w:w="936" w:type="dxa"/>
            <w:vMerge w:val="restart"/>
          </w:tcPr>
          <w:p>
            <w:r>
              <w:t>F8.2</w:t>
            </w:r>
          </w:p>
        </w:tc>
        <w:tc>
          <w:tcPr>
            <w:tcW w:w="745" w:type="dxa"/>
          </w:tcPr>
          <w:p>
            <w:r>
              <w:t>文件名称</w:t>
            </w:r>
          </w:p>
        </w:tc>
        <w:tc>
          <w:tcPr>
            <w:tcW w:w="10223" w:type="dxa"/>
          </w:tcPr>
          <w:p>
            <w:r>
              <w:t>如：</w:t>
            </w:r>
            <w:r>
              <w:fldChar w:fldCharType="begin"/>
            </w:r>
            <w:r>
              <w:instrText xml:space="preserve"> eq \o\ac(□,√)</w:instrText>
            </w:r>
            <w:r>
              <w:fldChar w:fldCharType="end"/>
            </w:r>
            <w:r>
              <w:t>《前提方案》</w:t>
            </w:r>
          </w:p>
        </w:tc>
        <w:tc>
          <w:tcPr>
            <w:tcW w:w="1181"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continue"/>
          </w:tcPr>
          <w:p/>
        </w:tc>
        <w:tc>
          <w:tcPr>
            <w:tcW w:w="936" w:type="dxa"/>
            <w:vMerge w:val="continue"/>
          </w:tcPr>
          <w:p/>
        </w:tc>
        <w:tc>
          <w:tcPr>
            <w:tcW w:w="745" w:type="dxa"/>
          </w:tcPr>
          <w:p>
            <w:r>
              <w:t>运行证据</w:t>
            </w:r>
          </w:p>
        </w:tc>
        <w:tc>
          <w:tcPr>
            <w:tcW w:w="102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2020 年11月 15 日   </w:t>
            </w:r>
            <w:r>
              <w:rPr>
                <w:rFonts w:hint="eastAsia"/>
                <w:u w:val="single"/>
                <w:lang w:eastAsia="zh-CN"/>
              </w:rPr>
              <w:t>【</w:t>
            </w:r>
            <w:r>
              <w:rPr>
                <w:rFonts w:hint="eastAsia"/>
                <w:u w:val="single"/>
                <w:lang w:val="en-US" w:eastAsia="zh-CN"/>
              </w:rPr>
              <w:t>审核周期内未发生变化</w:t>
            </w:r>
            <w:r>
              <w:rPr>
                <w:rFonts w:hint="eastAsia"/>
                <w:u w:val="single"/>
                <w:lang w:eastAsia="zh-CN"/>
              </w:rPr>
              <w:t>】</w:t>
            </w:r>
            <w:r>
              <w:rPr>
                <w:u w:val="single"/>
              </w:rPr>
              <w:t xml:space="preserve">      </w:t>
            </w:r>
          </w:p>
          <w:p>
            <w:pPr>
              <w:rPr>
                <w:highlight w:val="cyan"/>
              </w:rPr>
            </w:pPr>
          </w:p>
          <w:p>
            <w:r>
              <w:t>8. 2. 3 当选择和（或） 制定前提方案（PRPs） 时， 组织应考虑：</w:t>
            </w:r>
          </w:p>
          <w:p>
            <w:r>
              <w:t xml:space="preserve">1)  ISO/TS 22002系列适用技术规范；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 xml:space="preserve">CNCA/CTS 0013-2014（CCAA0021-2014） </w:t>
            </w:r>
            <w:r>
              <w:rPr>
                <w:rFonts w:hint="eastAsia" w:ascii="Times New Roman" w:hAnsi="Times New Roman"/>
                <w:szCs w:val="22"/>
                <w:lang w:val="en-GB" w:eastAsia="zh-CN"/>
              </w:rPr>
              <w:t>《</w:t>
            </w:r>
            <w:r>
              <w:rPr>
                <w:rFonts w:ascii="Times New Roman" w:hAnsi="Times New Roman"/>
                <w:szCs w:val="22"/>
                <w:lang w:val="en-GB"/>
              </w:rPr>
              <w:t>食品安全管理体系 运输和贮藏企业要求</w:t>
            </w:r>
            <w:r>
              <w:rPr>
                <w:rFonts w:ascii="Times New Roman" w:hAnsi="Times New Roman"/>
                <w:szCs w:val="22"/>
              </w:rPr>
              <w:t xml:space="preserve"> </w:t>
            </w:r>
            <w:r>
              <w:rPr>
                <w:rFonts w:hint="eastAsia" w:ascii="Times New Roman" w:hAnsi="Times New Roman"/>
                <w:szCs w:val="22"/>
                <w:lang w:val="en-GB" w:eastAsia="zh-CN"/>
              </w:rPr>
              <w:t>》</w:t>
            </w:r>
            <w:r>
              <w:rPr>
                <w:rFonts w:ascii="Times New Roman" w:hAnsi="Times New Roman"/>
                <w:szCs w:val="22"/>
              </w:rPr>
              <w:t xml:space="preserve"> </w:t>
            </w:r>
          </w:p>
          <w:p>
            <w:pPr>
              <w:pStyle w:val="2"/>
            </w:pPr>
          </w:p>
          <w:p>
            <w:r>
              <w:t>2）立法/执法要求和顾客要求；</w:t>
            </w:r>
          </w:p>
          <w:p>
            <w:pPr>
              <w:ind w:firstLine="420" w:firstLineChars="200"/>
            </w:pPr>
            <w:r>
              <w:rPr/>
              <w:sym w:font="Wingdings" w:char="00FE"/>
            </w:r>
            <w:r>
              <w:t>立法执法要求：满足相关法律法规要求</w:t>
            </w:r>
          </w:p>
          <w:p>
            <w:pPr>
              <w:ind w:firstLine="420" w:firstLineChars="200"/>
              <w:rPr>
                <w:rFonts w:hint="default" w:eastAsia="宋体"/>
                <w:u w:val="single"/>
                <w:lang w:val="en-US" w:eastAsia="zh-CN"/>
              </w:rPr>
            </w:pPr>
            <w:r>
              <w:rPr/>
              <w:sym w:font="Wingdings" w:char="00FE"/>
            </w:r>
            <w:r>
              <w:t>顾客要求：</w:t>
            </w:r>
            <w:r>
              <w:rPr>
                <w:rFonts w:hint="eastAsia"/>
                <w:u w:val="single"/>
              </w:rPr>
              <w:t>产品外观完好、无破损、运输车辆干净卫生</w:t>
            </w:r>
            <w:r>
              <w:rPr>
                <w:rFonts w:hint="eastAsia"/>
                <w:u w:val="single"/>
                <w:lang w:eastAsia="zh-CN"/>
              </w:rPr>
              <w:t>、</w:t>
            </w:r>
            <w:r>
              <w:rPr>
                <w:rFonts w:hint="eastAsia"/>
                <w:u w:val="single"/>
                <w:lang w:val="en-US" w:eastAsia="zh-CN"/>
              </w:rPr>
              <w:t>配送及时、售后服务及时</w:t>
            </w:r>
          </w:p>
          <w:p>
            <w:r>
              <w:t>3）适用法典和指南。</w:t>
            </w:r>
          </w:p>
          <w:p>
            <w:pPr>
              <w:rPr>
                <w:highlight w:val="cyan"/>
              </w:rPr>
            </w:pPr>
            <w:r>
              <w:t xml:space="preserve">  无</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10223" w:type="dxa"/>
            <w:shd w:val="clear" w:color="auto" w:fill="auto"/>
          </w:tcPr>
          <w:p>
            <w:pPr>
              <w:rPr>
                <w:rFonts w:hint="default" w:eastAsia="宋体"/>
                <w:lang w:val="en-US" w:eastAsia="zh-CN"/>
              </w:rPr>
            </w:pPr>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r>
              <w:fldChar w:fldCharType="begin"/>
            </w:r>
            <w:r>
              <w:instrText xml:space="preserve"> eq \o\ac(□,√)</w:instrText>
            </w:r>
            <w:r>
              <w:fldChar w:fldCharType="end"/>
            </w:r>
            <w:r>
              <w:rPr>
                <w:rFonts w:hint="eastAsia"/>
                <w:lang w:val="en-US" w:eastAsia="zh-CN"/>
              </w:rPr>
              <w:t>手册8.5条款</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eastAsia" w:eastAsia="宋体"/>
                <w:u w:val="single"/>
                <w:lang w:val="en-US" w:eastAsia="zh-CN"/>
              </w:rPr>
            </w:pPr>
            <w:r>
              <w:t>原材料：</w:t>
            </w:r>
            <w:r>
              <w:rPr>
                <w:u w:val="single"/>
              </w:rPr>
              <w:t xml:space="preserve">   </w:t>
            </w:r>
            <w:r>
              <w:rPr>
                <w:rFonts w:hint="eastAsia"/>
                <w:u w:val="single"/>
              </w:rPr>
              <w:t>粮油类、调味料、非发酵豆制品、</w:t>
            </w:r>
            <w:r>
              <w:rPr>
                <w:u w:val="single"/>
              </w:rPr>
              <w:t>禽畜</w:t>
            </w:r>
            <w:r>
              <w:rPr>
                <w:rFonts w:hint="eastAsia"/>
                <w:u w:val="single"/>
              </w:rPr>
              <w:t>肉</w:t>
            </w:r>
            <w:r>
              <w:rPr>
                <w:rFonts w:hint="eastAsia"/>
                <w:u w:val="single"/>
                <w:lang w:val="en-US" w:eastAsia="zh-CN"/>
              </w:rPr>
              <w:t>类</w:t>
            </w:r>
            <w:r>
              <w:rPr>
                <w:rFonts w:hint="eastAsia"/>
                <w:u w:val="single"/>
              </w:rPr>
              <w:t>、水产（冻品）、禽畜肉（冻品）</w:t>
            </w:r>
            <w:r>
              <w:rPr>
                <w:rFonts w:hint="eastAsia"/>
                <w:u w:val="single"/>
                <w:lang w:val="en-US" w:eastAsia="zh-CN"/>
              </w:rPr>
              <w:t>等【果蔬类、禽蛋类未做描述，已现场沟通】</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eastAsia" w:eastAsia="宋体"/>
                <w:u w:val="single"/>
                <w:lang w:val="en-US" w:eastAsia="zh-CN"/>
              </w:rPr>
            </w:pPr>
            <w:r>
              <w:rPr>
                <w:b/>
                <w:lang w:val="en-GB"/>
              </w:rPr>
              <w:t>最终产品《特性</w:t>
            </w:r>
            <w:r>
              <w:rPr>
                <w:b/>
              </w:rPr>
              <w:t>描述</w:t>
            </w:r>
            <w:r>
              <w:rPr>
                <w:b/>
                <w:lang w:val="en-GB"/>
              </w:rPr>
              <w:t>》</w:t>
            </w:r>
            <w:r>
              <w:rPr>
                <w:b/>
              </w:rPr>
              <w:t>：</w:t>
            </w:r>
            <w:r>
              <w:rPr>
                <w:rFonts w:hint="eastAsia"/>
                <w:u w:val="single"/>
              </w:rPr>
              <w:t>粮油类、调味料、非发酵豆制品、</w:t>
            </w:r>
            <w:r>
              <w:rPr>
                <w:u w:val="single"/>
              </w:rPr>
              <w:t>禽畜</w:t>
            </w:r>
            <w:r>
              <w:rPr>
                <w:rFonts w:hint="eastAsia"/>
                <w:u w:val="single"/>
              </w:rPr>
              <w:t>肉</w:t>
            </w:r>
            <w:r>
              <w:rPr>
                <w:rFonts w:hint="eastAsia"/>
                <w:u w:val="single"/>
                <w:lang w:val="en-US" w:eastAsia="zh-CN"/>
              </w:rPr>
              <w:t>类</w:t>
            </w:r>
            <w:r>
              <w:rPr>
                <w:rFonts w:hint="eastAsia"/>
                <w:u w:val="single"/>
              </w:rPr>
              <w:t>、水产（冻品）、畜肉（冻品）</w:t>
            </w:r>
            <w:r>
              <w:rPr>
                <w:rFonts w:hint="eastAsia"/>
                <w:u w:val="single"/>
                <w:lang w:val="en-US" w:eastAsia="zh-CN"/>
              </w:rPr>
              <w:t>等</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学校食堂等单位食</w:t>
            </w:r>
            <w:r>
              <w:rPr>
                <w:u w:val="single"/>
              </w:rPr>
              <w:t>堂</w:t>
            </w:r>
            <w:r>
              <w:rPr>
                <w:rFonts w:hint="eastAsia"/>
                <w:u w:val="single"/>
              </w:rPr>
              <w:t>餐饮</w:t>
            </w:r>
            <w:r>
              <w:rPr>
                <w:u w:val="single"/>
              </w:rPr>
              <w:t xml:space="preserve">食材   </w:t>
            </w:r>
          </w:p>
          <w:p/>
          <w:p>
            <w:r>
              <w:t>确定已知特别容易受到特定食品安全危害易感的消费群体/使用者：</w:t>
            </w:r>
          </w:p>
          <w:p>
            <w:pPr>
              <w:rPr>
                <w:rFonts w:hint="default" w:eastAsia="宋体"/>
                <w:lang w:val="en-US" w:eastAsia="zh-CN"/>
              </w:rPr>
            </w:pPr>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w:t>
            </w:r>
            <w:r>
              <w:rPr>
                <w:rFonts w:hint="eastAsia"/>
              </w:rPr>
              <w:t>（不涉及）</w:t>
            </w:r>
            <w:r>
              <w:t>、包装材料、公用工程和中间产品投入点；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rFonts w:hint="eastAsia" w:eastAsia="宋体"/>
                <w:lang w:val="en-GB" w:eastAsia="zh-CN"/>
              </w:rPr>
            </w:pPr>
            <w:r>
              <w:rPr>
                <w:lang w:val="en-GB"/>
              </w:rPr>
              <w:t>HACCP小组</w:t>
            </w:r>
            <w:r>
              <w:t>于</w:t>
            </w:r>
            <w:r>
              <w:rPr>
                <w:color w:val="0000FF"/>
                <w:szCs w:val="21"/>
                <w:u w:val="single"/>
              </w:rPr>
              <w:t xml:space="preserve">   202</w:t>
            </w:r>
            <w:r>
              <w:rPr>
                <w:rFonts w:hint="eastAsia"/>
                <w:color w:val="0000FF"/>
                <w:szCs w:val="21"/>
                <w:u w:val="single"/>
                <w:lang w:val="en-US" w:eastAsia="zh-CN"/>
              </w:rPr>
              <w:t>2</w:t>
            </w:r>
            <w:r>
              <w:rPr>
                <w:color w:val="0000FF"/>
                <w:szCs w:val="21"/>
                <w:u w:val="single"/>
              </w:rPr>
              <w:t xml:space="preserve"> </w:t>
            </w:r>
            <w:r>
              <w:rPr>
                <w:color w:val="0000FF"/>
                <w:szCs w:val="21"/>
              </w:rPr>
              <w:t>年</w:t>
            </w:r>
            <w:r>
              <w:rPr>
                <w:color w:val="0000FF"/>
                <w:szCs w:val="21"/>
                <w:u w:val="single"/>
              </w:rPr>
              <w:t xml:space="preserve"> </w:t>
            </w:r>
            <w:r>
              <w:rPr>
                <w:rFonts w:hint="eastAsia"/>
                <w:color w:val="0000FF"/>
                <w:szCs w:val="21"/>
                <w:u w:val="single"/>
                <w:lang w:val="en-US" w:eastAsia="zh-CN"/>
              </w:rPr>
              <w:t xml:space="preserve">3 </w:t>
            </w:r>
            <w:r>
              <w:rPr>
                <w:color w:val="0000FF"/>
                <w:szCs w:val="21"/>
              </w:rPr>
              <w:t>月</w:t>
            </w:r>
            <w:r>
              <w:rPr>
                <w:color w:val="0000FF"/>
                <w:szCs w:val="21"/>
                <w:u w:val="single"/>
              </w:rPr>
              <w:t xml:space="preserve">  </w:t>
            </w:r>
            <w:r>
              <w:rPr>
                <w:rFonts w:hint="eastAsia"/>
                <w:color w:val="0000FF"/>
                <w:szCs w:val="21"/>
                <w:u w:val="single"/>
                <w:lang w:val="en-US" w:eastAsia="zh-CN"/>
              </w:rPr>
              <w:t>10</w:t>
            </w:r>
            <w:r>
              <w:rPr>
                <w:color w:val="0000FF"/>
                <w:szCs w:val="21"/>
                <w:u w:val="single"/>
              </w:rPr>
              <w:t xml:space="preserve">  </w:t>
            </w:r>
            <w:r>
              <w:rPr>
                <w:color w:val="0000FF"/>
                <w:szCs w:val="21"/>
              </w:rPr>
              <w:t>日</w:t>
            </w:r>
            <w:r>
              <w:t>在现场确认了流程图的准确性。</w:t>
            </w:r>
            <w:r>
              <w:rPr>
                <w:rFonts w:hint="eastAsia"/>
                <w:lang w:eastAsia="zh-CN"/>
              </w:rPr>
              <w:t>【</w:t>
            </w:r>
            <w:r>
              <w:rPr>
                <w:rFonts w:hint="eastAsia"/>
                <w:lang w:val="en-US" w:eastAsia="zh-CN"/>
              </w:rPr>
              <w:t>审核周期内未发生变化</w:t>
            </w:r>
            <w:r>
              <w:rPr>
                <w:rFonts w:hint="eastAsia"/>
                <w:lang w:eastAsia="zh-CN"/>
              </w:rPr>
              <w:t>】</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74" w:type="dxa"/>
            <w:vMerge w:val="continue"/>
            <w:shd w:val="clear" w:color="auto" w:fill="auto"/>
          </w:tcPr>
          <w:p/>
        </w:tc>
        <w:tc>
          <w:tcPr>
            <w:tcW w:w="936" w:type="dxa"/>
            <w:shd w:val="clear" w:color="auto" w:fill="auto"/>
          </w:tcPr>
          <w:p/>
        </w:tc>
        <w:tc>
          <w:tcPr>
            <w:tcW w:w="745" w:type="dxa"/>
            <w:shd w:val="clear" w:color="auto" w:fill="auto"/>
          </w:tcPr>
          <w:p/>
        </w:tc>
        <w:tc>
          <w:tcPr>
            <w:tcW w:w="102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w:t>
            </w:r>
            <w:r>
              <w:rPr>
                <w:rFonts w:hint="eastAsia"/>
              </w:rPr>
              <w:t>（不涉及）</w:t>
            </w:r>
            <w:r>
              <w:t>、物料进入、废料排出、外包等）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181"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食品安全小组于</w:t>
            </w:r>
            <w:r>
              <w:rPr>
                <w:u w:val="single"/>
              </w:rPr>
              <w:t xml:space="preserve">  2020 </w:t>
            </w:r>
            <w:r>
              <w:t>年</w:t>
            </w:r>
            <w:r>
              <w:rPr>
                <w:u w:val="single"/>
              </w:rPr>
              <w:t xml:space="preserve"> 11</w:t>
            </w:r>
            <w:r>
              <w:t>月</w:t>
            </w:r>
            <w:r>
              <w:rPr>
                <w:u w:val="single"/>
              </w:rPr>
              <w:t xml:space="preserve"> 15</w:t>
            </w:r>
            <w:r>
              <w:t>日根据初步情况进行危害分析，确定需要控制的危害。控制程度应确保食品安全，并在适当情况下采用多种控制措施的组合。</w:t>
            </w:r>
            <w:r>
              <w:rPr>
                <w:rFonts w:hint="eastAsia"/>
                <w:lang w:eastAsia="zh-CN"/>
              </w:rPr>
              <w:t>【</w:t>
            </w:r>
            <w:r>
              <w:rPr>
                <w:rFonts w:hint="eastAsia"/>
                <w:lang w:val="en-US" w:eastAsia="zh-CN"/>
              </w:rPr>
              <w:t>审核周期内未发生变化</w:t>
            </w:r>
            <w:r>
              <w:rPr>
                <w:rFonts w:hint="eastAsia"/>
                <w:lang w:eastAsia="zh-CN"/>
              </w:rPr>
              <w:t>】</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FE"/>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2"/>
                    <w:ind w:left="0" w:firstLine="0" w:firstLineChars="0"/>
                    <w:rPr>
                      <w:sz w:val="18"/>
                      <w:szCs w:val="18"/>
                    </w:rPr>
                  </w:pPr>
                  <w:r>
                    <w:rPr>
                      <w:rFonts w:hint="eastAsia" w:ascii="Times New Roman" w:hAnsi="Times New Roman"/>
                      <w:bCs/>
                      <w:sz w:val="18"/>
                      <w:szCs w:val="18"/>
                    </w:rPr>
                    <w:t>（动物检疫证明、肉品质合格证</w:t>
                  </w:r>
                  <w:r>
                    <w:rPr>
                      <w:rFonts w:hint="eastAsia" w:ascii="Times New Roman" w:hAnsi="Times New Roman"/>
                      <w:bCs/>
                      <w:sz w:val="18"/>
                      <w:szCs w:val="18"/>
                      <w:lang w:val="en-US" w:eastAsia="zh-CN"/>
                    </w:rPr>
                    <w:t>等</w:t>
                  </w:r>
                  <w:r>
                    <w:rPr>
                      <w:rFonts w:hint="eastAsia" w:ascii="Times New Roman" w:hAnsi="Times New Roman"/>
                      <w:bCs/>
                      <w:sz w:val="18"/>
                      <w:szCs w:val="18"/>
                    </w:rPr>
                    <w:t>）</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jc w:val="center"/>
                    <w:rPr>
                      <w:bCs/>
                      <w:sz w:val="18"/>
                      <w:szCs w:val="18"/>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r>
                    <w:rPr>
                      <w:rFonts w:hint="eastAsia"/>
                      <w:bCs/>
                      <w:sz w:val="18"/>
                      <w:szCs w:val="18"/>
                      <w:lang w:val="en-US" w:eastAsia="zh-CN"/>
                    </w:rPr>
                    <w:t>等</w:t>
                  </w:r>
                  <w:r>
                    <w:rPr>
                      <w:bCs/>
                      <w:sz w:val="18"/>
                      <w:szCs w:val="18"/>
                    </w:rPr>
                    <w:t>）</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粮油类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GB" w:eastAsia="zh-CN"/>
                    </w:rPr>
                  </w:pPr>
                  <w:r>
                    <w:rPr>
                      <w:rFonts w:hint="eastAsia"/>
                      <w:bCs/>
                    </w:rPr>
                    <w:t>畜禽肉类</w:t>
                  </w:r>
                  <w:r>
                    <w:rPr>
                      <w:rFonts w:hint="eastAsia"/>
                      <w:bCs/>
                      <w:lang w:eastAsia="zh-CN"/>
                    </w:rPr>
                    <w:t>【</w:t>
                  </w:r>
                  <w:r>
                    <w:rPr>
                      <w:rFonts w:hint="eastAsia"/>
                      <w:bCs/>
                      <w:lang w:val="en-US" w:eastAsia="zh-CN"/>
                    </w:rPr>
                    <w:t>冷藏、冷冻</w:t>
                  </w:r>
                  <w:r>
                    <w:rPr>
                      <w:rFonts w:hint="eastAsia"/>
                      <w:bCs/>
                      <w:lang w:eastAsia="zh-CN"/>
                    </w:rPr>
                    <w:t>】</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水产品类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US" w:eastAsia="zh-CN"/>
                    </w:rPr>
                  </w:pPr>
                  <w:r>
                    <w:rPr>
                      <w:rFonts w:hint="eastAsia"/>
                      <w:bCs/>
                    </w:rPr>
                    <w:t>塑料袋</w:t>
                  </w:r>
                  <w:r>
                    <w:rPr>
                      <w:rFonts w:hint="eastAsia"/>
                      <w:bCs/>
                      <w:lang w:val="en-US" w:eastAsia="zh-CN"/>
                    </w:rPr>
                    <w:t>等</w:t>
                  </w:r>
                </w:p>
              </w:tc>
              <w:tc>
                <w:tcPr>
                  <w:tcW w:w="2873" w:type="dxa"/>
                  <w:shd w:val="clear" w:color="auto" w:fill="auto"/>
                  <w:vAlign w:val="center"/>
                </w:tcPr>
                <w:p>
                  <w:pPr>
                    <w:jc w:val="center"/>
                    <w:rPr>
                      <w:lang w:val="en-GB"/>
                    </w:rPr>
                  </w:pPr>
                  <w:r>
                    <w:rPr/>
                    <w:sym w:font="Wingdings" w:char="00FE"/>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2"/>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bCs/>
                    </w:rPr>
                  </w:pPr>
                </w:p>
              </w:tc>
              <w:tc>
                <w:tcPr>
                  <w:tcW w:w="2873" w:type="dxa"/>
                  <w:shd w:val="clear" w:color="auto" w:fill="auto"/>
                  <w:vAlign w:val="center"/>
                </w:tcPr>
                <w:p>
                  <w:pPr>
                    <w:pStyle w:val="2"/>
                    <w:rPr>
                      <w:rFonts w:ascii="Times New Roman" w:hAnsi="Times New Roman"/>
                    </w:rPr>
                  </w:pPr>
                </w:p>
              </w:tc>
              <w:tc>
                <w:tcPr>
                  <w:tcW w:w="3665" w:type="dxa"/>
                  <w:shd w:val="clear" w:color="auto" w:fill="auto"/>
                  <w:vAlign w:val="center"/>
                </w:tcPr>
                <w:p>
                  <w:pPr>
                    <w:jc w:val="center"/>
                    <w:rPr>
                      <w:bCs/>
                    </w:rPr>
                  </w:pPr>
                </w:p>
              </w:tc>
            </w:tr>
          </w:tbl>
          <w:p>
            <w:pPr>
              <w:rPr>
                <w:rFonts w:hint="eastAsia"/>
                <w:u w:val="single"/>
                <w:lang w:val="en-US" w:eastAsia="zh-CN"/>
              </w:rPr>
            </w:pPr>
            <w:r>
              <w:rPr>
                <w:rFonts w:hint="eastAsia"/>
                <w:u w:val="single"/>
                <w:lang w:val="en-US" w:eastAsia="zh-CN"/>
              </w:rPr>
              <w:t>经询问了解，受疫情影响以及客户群体的要求，主要销售少量虾；</w:t>
            </w:r>
          </w:p>
          <w:p>
            <w:pPr>
              <w:rPr>
                <w:rFonts w:hint="default"/>
                <w:lang w:val="en-US" w:eastAsia="zh-CN"/>
              </w:rPr>
            </w:pPr>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lang w:val="en-US" w:eastAsia="zh-CN"/>
              </w:rPr>
              <w:t>的污染</w:t>
            </w:r>
            <w:r>
              <w:rPr>
                <w:rFonts w:hint="eastAsia"/>
                <w:u w:val="single"/>
              </w:rPr>
              <w:t xml:space="preserve"> </w:t>
            </w:r>
            <w:r>
              <w:rPr>
                <w:u w:val="single"/>
              </w:rPr>
              <w:t xml:space="preserve">     </w:t>
            </w:r>
          </w:p>
          <w:p/>
          <w:p>
            <w:pPr>
              <w:pStyle w:val="2"/>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rFonts w:hint="default" w:eastAsia="宋体"/>
                      <w:bCs/>
                      <w:szCs w:val="21"/>
                      <w:lang w:val="en-US" w:eastAsia="zh-CN"/>
                    </w:rPr>
                  </w:pPr>
                  <w:r>
                    <w:rPr>
                      <w:bCs/>
                      <w:szCs w:val="21"/>
                    </w:rPr>
                    <w:t>按照GB2715-2016</w:t>
                  </w:r>
                  <w:r>
                    <w:rPr>
                      <w:rFonts w:hint="eastAsia"/>
                      <w:bCs/>
                      <w:szCs w:val="21"/>
                    </w:rPr>
                    <w:t>、</w:t>
                  </w:r>
                  <w:r>
                    <w:rPr>
                      <w:bCs/>
                      <w:szCs w:val="21"/>
                    </w:rPr>
                    <w:t>GB2762</w:t>
                  </w:r>
                  <w:r>
                    <w:rPr>
                      <w:rFonts w:hint="eastAsia"/>
                      <w:bCs/>
                      <w:szCs w:val="21"/>
                      <w:lang w:val="en-US" w:eastAsia="zh-CN"/>
                    </w:rPr>
                    <w:t xml:space="preserve"> </w:t>
                  </w:r>
                  <w:r>
                    <w:rPr>
                      <w:rFonts w:hint="eastAsia"/>
                      <w:bCs/>
                      <w:szCs w:val="21"/>
                    </w:rPr>
                    <w:t>、GB 2716</w:t>
                  </w:r>
                  <w:r>
                    <w:rPr>
                      <w:rFonts w:hint="eastAsia"/>
                      <w:bCs/>
                      <w:szCs w:val="21"/>
                      <w:lang w:val="en-US" w:eastAsia="zh-CN"/>
                    </w:rPr>
                    <w:t xml:space="preserve"> </w:t>
                  </w:r>
                  <w:r>
                    <w:rPr>
                      <w:rFonts w:hint="eastAsia"/>
                      <w:bCs/>
                      <w:szCs w:val="21"/>
                    </w:rPr>
                    <w:t>、GB2763</w:t>
                  </w:r>
                  <w:r>
                    <w:rPr>
                      <w:rFonts w:hint="eastAsia"/>
                      <w:bCs/>
                      <w:szCs w:val="21"/>
                      <w:lang w:val="en-US" w:eastAsia="zh-CN"/>
                    </w:rPr>
                    <w:t xml:space="preserve"> </w:t>
                  </w:r>
                  <w:r>
                    <w:rPr>
                      <w:rFonts w:hint="eastAsia"/>
                      <w:bCs/>
                      <w:szCs w:val="21"/>
                    </w:rPr>
                    <w:t>、GB2761</w:t>
                  </w:r>
                  <w:r>
                    <w:rPr>
                      <w:rFonts w:hint="eastAsia"/>
                      <w:bCs/>
                      <w:szCs w:val="21"/>
                      <w:lang w:val="en-US" w:eastAsia="zh-CN"/>
                    </w:rPr>
                    <w:t xml:space="preserve"> 等标准</w:t>
                  </w:r>
                  <w:r>
                    <w:rPr>
                      <w:rFonts w:hint="eastAsia"/>
                      <w:bCs/>
                      <w:szCs w:val="21"/>
                    </w:rPr>
                    <w:t>执行，外包装完好</w:t>
                  </w:r>
                  <w:r>
                    <w:rPr>
                      <w:rFonts w:hint="eastAsia"/>
                      <w:bCs/>
                      <w:szCs w:val="21"/>
                      <w:lang w:eastAsia="zh-CN"/>
                    </w:rPr>
                    <w:t>、</w:t>
                  </w:r>
                  <w:r>
                    <w:rPr>
                      <w:rFonts w:hint="eastAsia"/>
                      <w:bCs/>
                      <w:szCs w:val="21"/>
                      <w:lang w:val="en-US" w:eastAsia="zh-CN"/>
                    </w:rPr>
                    <w:t>每年索取第三方检测报告</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w:t>
                  </w:r>
                  <w:r>
                    <w:rPr>
                      <w:rFonts w:hint="eastAsia"/>
                      <w:bCs/>
                      <w:szCs w:val="21"/>
                      <w:lang w:val="en-US" w:eastAsia="zh-CN"/>
                    </w:rPr>
                    <w:t xml:space="preserve"> </w:t>
                  </w:r>
                  <w:r>
                    <w:rPr>
                      <w:rFonts w:hint="eastAsia"/>
                      <w:bCs/>
                      <w:szCs w:val="21"/>
                    </w:rPr>
                    <w:t>、GB2761</w:t>
                  </w:r>
                  <w:r>
                    <w:rPr>
                      <w:rFonts w:hint="eastAsia"/>
                      <w:bCs/>
                      <w:szCs w:val="21"/>
                      <w:lang w:val="en-US" w:eastAsia="zh-CN"/>
                    </w:rPr>
                    <w:t xml:space="preserve"> 以及产品标准</w:t>
                  </w:r>
                  <w:r>
                    <w:rPr>
                      <w:rFonts w:hint="eastAsia"/>
                      <w:bCs/>
                      <w:szCs w:val="21"/>
                    </w:rPr>
                    <w:t>执行，外包装完好外包装完好</w:t>
                  </w:r>
                  <w:r>
                    <w:rPr>
                      <w:rFonts w:hint="eastAsia"/>
                      <w:bCs/>
                      <w:szCs w:val="21"/>
                      <w:lang w:eastAsia="zh-CN"/>
                    </w:rPr>
                    <w:t>、</w:t>
                  </w:r>
                  <w:r>
                    <w:rPr>
                      <w:rFonts w:hint="eastAsia"/>
                      <w:bCs/>
                      <w:szCs w:val="21"/>
                      <w:lang w:val="en-US" w:eastAsia="zh-CN"/>
                    </w:rPr>
                    <w:t>每年索取第三方检测报告</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GB" w:eastAsia="zh-CN"/>
                    </w:rPr>
                  </w:pPr>
                  <w:r>
                    <w:rPr>
                      <w:rFonts w:hint="eastAsia"/>
                      <w:bCs/>
                      <w:szCs w:val="21"/>
                    </w:rPr>
                    <w:t>畜禽肉类</w:t>
                  </w:r>
                  <w:r>
                    <w:rPr>
                      <w:rFonts w:hint="eastAsia"/>
                      <w:bCs/>
                      <w:szCs w:val="21"/>
                      <w:lang w:eastAsia="zh-CN"/>
                    </w:rPr>
                    <w:t>【</w:t>
                  </w:r>
                  <w:r>
                    <w:rPr>
                      <w:rFonts w:hint="eastAsia"/>
                      <w:bCs/>
                      <w:szCs w:val="21"/>
                      <w:lang w:val="en-US" w:eastAsia="zh-CN"/>
                    </w:rPr>
                    <w:t>冷藏冷冻类</w:t>
                  </w:r>
                  <w:r>
                    <w:rPr>
                      <w:rFonts w:hint="eastAsia"/>
                      <w:bCs/>
                      <w:szCs w:val="21"/>
                      <w:lang w:eastAsia="zh-CN"/>
                    </w:rPr>
                    <w:t>】</w:t>
                  </w:r>
                </w:p>
              </w:tc>
              <w:tc>
                <w:tcPr>
                  <w:tcW w:w="4263" w:type="dxa"/>
                  <w:shd w:val="clear" w:color="auto" w:fill="auto"/>
                  <w:vAlign w:val="center"/>
                </w:tcPr>
                <w:p>
                  <w:pPr>
                    <w:jc w:val="center"/>
                    <w:rPr>
                      <w:rFonts w:hint="default" w:eastAsia="宋体"/>
                      <w:bCs/>
                      <w:szCs w:val="21"/>
                      <w:lang w:val="en-US" w:eastAsia="zh-CN"/>
                    </w:rPr>
                  </w:pPr>
                  <w:r>
                    <w:rPr>
                      <w:rFonts w:hint="eastAsia"/>
                      <w:bCs/>
                      <w:szCs w:val="21"/>
                    </w:rPr>
                    <w:t>按照</w:t>
                  </w:r>
                  <w:r>
                    <w:rPr>
                      <w:bCs/>
                      <w:szCs w:val="21"/>
                    </w:rPr>
                    <w:t>GB31650</w:t>
                  </w:r>
                  <w:r>
                    <w:rPr>
                      <w:rFonts w:hint="eastAsia"/>
                      <w:bCs/>
                      <w:szCs w:val="21"/>
                    </w:rPr>
                    <w:t>、</w:t>
                  </w:r>
                  <w:r>
                    <w:rPr>
                      <w:bCs/>
                      <w:szCs w:val="21"/>
                    </w:rPr>
                    <w:t>GB</w:t>
                  </w:r>
                  <w:r>
                    <w:rPr>
                      <w:rFonts w:hint="eastAsia"/>
                      <w:bCs/>
                      <w:szCs w:val="21"/>
                    </w:rPr>
                    <w:t xml:space="preserve"> 168695、GB 2707执行，目测正常</w:t>
                  </w:r>
                  <w:r>
                    <w:rPr>
                      <w:rFonts w:hint="eastAsia"/>
                      <w:bCs/>
                      <w:szCs w:val="21"/>
                      <w:lang w:eastAsia="zh-CN"/>
                    </w:rPr>
                    <w:t>、</w:t>
                  </w:r>
                  <w:r>
                    <w:rPr>
                      <w:rFonts w:hint="eastAsia"/>
                      <w:bCs/>
                      <w:szCs w:val="21"/>
                      <w:lang w:val="en-US" w:eastAsia="zh-CN"/>
                    </w:rPr>
                    <w:t>鲜畜禽肉每批索证；</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果蔬类</w:t>
                  </w:r>
                </w:p>
              </w:tc>
              <w:tc>
                <w:tcPr>
                  <w:tcW w:w="4263" w:type="dxa"/>
                  <w:shd w:val="clear" w:color="auto" w:fill="auto"/>
                  <w:vAlign w:val="center"/>
                </w:tcPr>
                <w:p>
                  <w:pPr>
                    <w:jc w:val="center"/>
                    <w:rPr>
                      <w:rFonts w:hint="default" w:eastAsia="宋体"/>
                      <w:bCs/>
                      <w:szCs w:val="21"/>
                      <w:lang w:val="en-US" w:eastAsia="zh-CN"/>
                    </w:rPr>
                  </w:pPr>
                  <w:r>
                    <w:rPr>
                      <w:bCs/>
                      <w:szCs w:val="21"/>
                    </w:rPr>
                    <w:t>目视洁净</w:t>
                  </w:r>
                  <w:r>
                    <w:rPr>
                      <w:rFonts w:hint="eastAsia"/>
                      <w:bCs/>
                      <w:szCs w:val="21"/>
                    </w:rPr>
                    <w:t>、农残按照GB 2763</w:t>
                  </w:r>
                  <w:r>
                    <w:rPr>
                      <w:rFonts w:hint="eastAsia"/>
                      <w:bCs/>
                      <w:szCs w:val="21"/>
                      <w:lang w:val="en-US" w:eastAsia="zh-CN"/>
                    </w:rPr>
                    <w:t xml:space="preserve"> </w:t>
                  </w:r>
                  <w:r>
                    <w:rPr>
                      <w:rFonts w:hint="eastAsia"/>
                      <w:bCs/>
                      <w:szCs w:val="21"/>
                    </w:rPr>
                    <w:t>执行，目测正常，无腐烂</w:t>
                  </w:r>
                  <w:r>
                    <w:rPr>
                      <w:rFonts w:hint="eastAsia"/>
                      <w:bCs/>
                      <w:szCs w:val="21"/>
                      <w:lang w:eastAsia="zh-CN"/>
                    </w:rPr>
                    <w:t>、</w:t>
                  </w:r>
                  <w:r>
                    <w:rPr>
                      <w:rFonts w:hint="eastAsia"/>
                      <w:bCs/>
                      <w:szCs w:val="21"/>
                      <w:lang w:val="en-US" w:eastAsia="zh-CN"/>
                    </w:rPr>
                    <w:t>农残测试合格</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US" w:eastAsia="zh-CN"/>
                    </w:rPr>
                  </w:pPr>
                  <w:r>
                    <w:rPr>
                      <w:rFonts w:hint="eastAsia"/>
                      <w:bCs/>
                      <w:szCs w:val="21"/>
                      <w:lang w:val="en-US" w:eastAsia="zh-CN"/>
                    </w:rPr>
                    <w:t>水产品类</w:t>
                  </w:r>
                </w:p>
              </w:tc>
              <w:tc>
                <w:tcPr>
                  <w:tcW w:w="4263" w:type="dxa"/>
                  <w:shd w:val="clear" w:color="auto" w:fill="auto"/>
                  <w:vAlign w:val="center"/>
                </w:tcPr>
                <w:p>
                  <w:pPr>
                    <w:jc w:val="center"/>
                    <w:rPr>
                      <w:rFonts w:hint="default" w:eastAsia="宋体"/>
                      <w:bCs/>
                      <w:szCs w:val="21"/>
                      <w:lang w:val="en-US" w:eastAsia="zh-CN"/>
                    </w:rPr>
                  </w:pPr>
                  <w:r>
                    <w:rPr>
                      <w:rFonts w:hint="eastAsia"/>
                      <w:bCs/>
                      <w:szCs w:val="21"/>
                      <w:lang w:val="en-US" w:eastAsia="zh-CN"/>
                    </w:rPr>
                    <w:t>感官新鲜，按照GB 31650标准执行</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74" w:type="dxa"/>
            <w:vMerge w:val="restart"/>
            <w:shd w:val="clear" w:color="auto" w:fill="auto"/>
          </w:tcPr>
          <w:p>
            <w:r>
              <w:t>控制措施组合的确认</w:t>
            </w:r>
          </w:p>
          <w:p/>
        </w:tc>
        <w:tc>
          <w:tcPr>
            <w:tcW w:w="936" w:type="dxa"/>
            <w:vMerge w:val="restart"/>
            <w:shd w:val="clear" w:color="auto" w:fill="auto"/>
          </w:tcPr>
          <w:p>
            <w:r>
              <w:t>F8.5.3</w:t>
            </w:r>
          </w:p>
          <w:p/>
        </w:tc>
        <w:tc>
          <w:tcPr>
            <w:tcW w:w="745" w:type="dxa"/>
            <w:shd w:val="clear" w:color="auto" w:fill="auto"/>
          </w:tcPr>
          <w:p>
            <w:r>
              <w:t>文件名称</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181"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w:t>
            </w:r>
            <w:r>
              <w:rPr>
                <w:rFonts w:hint="eastAsia" w:ascii="宋体" w:hAnsi="宋体"/>
                <w:b/>
                <w:bCs/>
                <w:szCs w:val="21"/>
                <w:u w:val="single"/>
                <w:lang w:val="en-US" w:eastAsia="zh-CN"/>
              </w:rPr>
              <w:t>2-03-09</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危害控制计划确认</w:t>
            </w:r>
            <w:r>
              <w:rPr>
                <w:rFonts w:hint="eastAsia" w:ascii="宋体" w:hAnsi="宋体"/>
                <w:b/>
                <w:bCs/>
                <w:szCs w:val="21"/>
                <w:u w:val="single"/>
              </w:rPr>
              <w:t>》，202</w:t>
            </w:r>
            <w:r>
              <w:rPr>
                <w:rFonts w:hint="eastAsia" w:ascii="宋体" w:hAnsi="宋体"/>
                <w:b/>
                <w:bCs/>
                <w:szCs w:val="21"/>
                <w:u w:val="single"/>
                <w:lang w:val="en-US" w:eastAsia="zh-CN"/>
              </w:rPr>
              <w:t>1-12-02</w:t>
            </w:r>
            <w:r>
              <w:rPr>
                <w:rFonts w:hint="eastAsia" w:ascii="宋体" w:hAnsi="宋体"/>
                <w:b/>
                <w:bCs/>
                <w:szCs w:val="21"/>
                <w:u w:val="single"/>
              </w:rPr>
              <w:t>，结论：控制有效</w:t>
            </w:r>
          </w:p>
          <w:p>
            <w:pPr>
              <w:pStyle w:val="2"/>
              <w:ind w:left="0" w:firstLine="0" w:firstLineChars="0"/>
              <w:rPr>
                <w:rFonts w:hint="eastAsia"/>
                <w:color w:val="auto"/>
                <w:highlight w:val="none"/>
                <w:u w:val="single"/>
                <w:lang w:val="en-US" w:eastAsia="zh-CN"/>
              </w:rPr>
            </w:pPr>
          </w:p>
          <w:p>
            <w:pPr>
              <w:pStyle w:val="2"/>
              <w:ind w:left="0" w:firstLine="0" w:firstLineChars="0"/>
              <w:rPr>
                <w:color w:val="FF0000"/>
                <w:highlight w:val="yellow"/>
                <w:u w:val="single"/>
              </w:rPr>
            </w:pPr>
            <w:r>
              <w:rPr>
                <w:rFonts w:hint="eastAsia"/>
                <w:color w:val="auto"/>
                <w:highlight w:val="none"/>
                <w:u w:val="single"/>
                <w:lang w:val="en-US" w:eastAsia="zh-CN"/>
              </w:rPr>
              <w:t>随机抽取：</w:t>
            </w:r>
          </w:p>
          <w:tbl>
            <w:tblPr>
              <w:tblStyle w:val="1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65"/>
              <w:gridCol w:w="1309"/>
              <w:gridCol w:w="2006"/>
              <w:gridCol w:w="142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76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2006"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42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20</w:t>
                  </w:r>
                  <w:r>
                    <w:rPr>
                      <w:rFonts w:hint="eastAsia"/>
                      <w:color w:val="000000" w:themeColor="text1"/>
                      <w:sz w:val="18"/>
                      <w:szCs w:val="18"/>
                      <w:lang w:val="en-US" w:eastAsia="zh-CN"/>
                      <w14:textFill>
                        <w14:solidFill>
                          <w14:schemeClr w14:val="tx1"/>
                        </w14:solidFill>
                      </w14:textFill>
                    </w:rPr>
                    <w:t>22-05-10</w:t>
                  </w:r>
                </w:p>
              </w:tc>
              <w:tc>
                <w:tcPr>
                  <w:tcW w:w="1765" w:type="dxa"/>
                </w:tcPr>
                <w:p>
                  <w:pP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牛肉</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rPr>
                      <w:rFonts w:hint="default" w:eastAsia="宋体"/>
                      <w:color w:val="000000" w:themeColor="text1"/>
                      <w:sz w:val="18"/>
                      <w:szCs w:val="18"/>
                      <w:lang w:val="en-US" w:eastAsia="zh-CN"/>
                      <w14:textFill>
                        <w14:solidFill>
                          <w14:schemeClr w14:val="tx1"/>
                        </w14:solidFill>
                      </w14:textFill>
                    </w:rPr>
                  </w:pPr>
                  <w:r>
                    <w:rPr>
                      <w:rFonts w:hint="eastAsia" w:ascii="宋体" w:hAnsi="宋体"/>
                      <w:sz w:val="18"/>
                      <w:lang w:val="en-US" w:eastAsia="zh-CN"/>
                    </w:rPr>
                    <w:t>销售凭证编号：022235377</w:t>
                  </w:r>
                </w:p>
              </w:tc>
              <w:tc>
                <w:tcPr>
                  <w:tcW w:w="1420"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r>
                    <w:rPr>
                      <w:rFonts w:hint="eastAsia"/>
                      <w:color w:val="000000" w:themeColor="text1"/>
                      <w:sz w:val="18"/>
                      <w:szCs w:val="18"/>
                      <w:lang w:val="en-US" w:eastAsia="zh-CN"/>
                      <w14:textFill>
                        <w14:solidFill>
                          <w14:schemeClr w14:val="tx1"/>
                        </w14:solidFill>
                      </w14:textFill>
                    </w:rPr>
                    <w:t>22-05-10</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pPr>
                    <w:rPr>
                      <w:color w:val="000000" w:themeColor="text1"/>
                      <w:sz w:val="18"/>
                      <w:szCs w:val="18"/>
                      <w14:textFill>
                        <w14:solidFill>
                          <w14:schemeClr w14:val="tx1"/>
                        </w14:solidFill>
                      </w14:textFill>
                    </w:rPr>
                  </w:pPr>
                  <w:r>
                    <w:rPr>
                      <w:rFonts w:hint="eastAsia"/>
                      <w:lang w:val="en-US" w:eastAsia="zh-CN"/>
                    </w:rPr>
                    <w:t>2022-03-11</w:t>
                  </w:r>
                </w:p>
              </w:tc>
              <w:tc>
                <w:tcPr>
                  <w:tcW w:w="1765" w:type="dxa"/>
                </w:tcPr>
                <w:p>
                  <w:pPr>
                    <w:rPr>
                      <w:color w:val="000000" w:themeColor="text1"/>
                      <w:sz w:val="18"/>
                      <w:szCs w:val="18"/>
                      <w14:textFill>
                        <w14:solidFill>
                          <w14:schemeClr w14:val="tx1"/>
                        </w14:solidFill>
                      </w14:textFill>
                    </w:rPr>
                  </w:pPr>
                  <w:r>
                    <w:rPr>
                      <w:rFonts w:hint="eastAsia"/>
                      <w:lang w:val="en-US" w:eastAsia="zh-CN"/>
                    </w:rPr>
                    <w:t>黑胡椒粉</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rPr>
                      <w:rFonts w:ascii="宋体" w:hAnsi="宋体"/>
                      <w:sz w:val="18"/>
                    </w:rPr>
                  </w:pPr>
                  <w:r>
                    <w:rPr>
                      <w:rFonts w:hint="eastAsia"/>
                      <w:lang w:val="en-US" w:eastAsia="zh-CN"/>
                    </w:rPr>
                    <w:t xml:space="preserve"> 2022）委字食类SPW202202376号</w:t>
                  </w:r>
                </w:p>
              </w:tc>
              <w:tc>
                <w:tcPr>
                  <w:tcW w:w="1420" w:type="dxa"/>
                </w:tcPr>
                <w:p>
                  <w:pPr>
                    <w:rPr>
                      <w:color w:val="000000" w:themeColor="text1"/>
                      <w:sz w:val="18"/>
                      <w:szCs w:val="18"/>
                      <w14:textFill>
                        <w14:solidFill>
                          <w14:schemeClr w14:val="tx1"/>
                        </w14:solidFill>
                      </w14:textFill>
                    </w:rPr>
                  </w:pPr>
                  <w:r>
                    <w:rPr>
                      <w:rFonts w:hint="eastAsia"/>
                      <w:lang w:val="en-US" w:eastAsia="zh-CN"/>
                    </w:rPr>
                    <w:t>2022-03-11</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r>
                    <w:rPr>
                      <w:rFonts w:hint="eastAsia"/>
                      <w:lang w:val="en-US" w:eastAsia="zh-CN"/>
                    </w:rPr>
                    <w:t>2021-12-16</w:t>
                  </w:r>
                </w:p>
              </w:tc>
              <w:tc>
                <w:tcPr>
                  <w:tcW w:w="1765" w:type="dxa"/>
                </w:tcPr>
                <w:p>
                  <w:pPr>
                    <w:rPr>
                      <w:color w:val="000000" w:themeColor="text1"/>
                      <w:sz w:val="18"/>
                      <w:szCs w:val="18"/>
                      <w14:textFill>
                        <w14:solidFill>
                          <w14:schemeClr w14:val="tx1"/>
                        </w14:solidFill>
                      </w14:textFill>
                    </w:rPr>
                  </w:pPr>
                  <w:r>
                    <w:rPr>
                      <w:rFonts w:hint="eastAsia"/>
                      <w:lang w:val="en-US" w:eastAsia="zh-CN"/>
                    </w:rPr>
                    <w:t>鸡产品</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rPr>
                      <w:rFonts w:ascii="宋体" w:hAnsi="宋体"/>
                      <w:sz w:val="18"/>
                      <w:szCs w:val="22"/>
                    </w:rPr>
                  </w:pPr>
                  <w:r>
                    <w:rPr>
                      <w:rFonts w:hint="eastAsia"/>
                      <w:lang w:val="en-US" w:eastAsia="zh-CN"/>
                    </w:rPr>
                    <w:t>FQD1203903186-R1</w:t>
                  </w:r>
                </w:p>
              </w:tc>
              <w:tc>
                <w:tcPr>
                  <w:tcW w:w="1420" w:type="dxa"/>
                </w:tcPr>
                <w:p>
                  <w:pPr>
                    <w:rPr>
                      <w:color w:val="000000" w:themeColor="text1"/>
                      <w:sz w:val="18"/>
                      <w:szCs w:val="18"/>
                      <w14:textFill>
                        <w14:solidFill>
                          <w14:schemeClr w14:val="tx1"/>
                        </w14:solidFill>
                      </w14:textFill>
                    </w:rPr>
                  </w:pPr>
                  <w:r>
                    <w:rPr>
                      <w:rFonts w:hint="eastAsia"/>
                      <w:lang w:val="en-US" w:eastAsia="zh-CN"/>
                    </w:rPr>
                    <w:t>2021-12-16</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p>
              </w:tc>
              <w:tc>
                <w:tcPr>
                  <w:tcW w:w="1765" w:type="dxa"/>
                </w:tcPr>
                <w:p>
                  <w:pPr>
                    <w:rPr>
                      <w:color w:val="000000" w:themeColor="text1"/>
                      <w:sz w:val="18"/>
                      <w:szCs w:val="18"/>
                      <w14:textFill>
                        <w14:solidFill>
                          <w14:schemeClr w14:val="tx1"/>
                        </w14:solidFill>
                      </w14:textFill>
                    </w:rPr>
                  </w:pP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pStyle w:val="2"/>
                    <w:ind w:left="0" w:firstLine="0" w:firstLineChars="0"/>
                    <w:rPr>
                      <w:color w:val="000000" w:themeColor="text1"/>
                      <w:sz w:val="18"/>
                      <w:szCs w:val="18"/>
                      <w14:textFill>
                        <w14:solidFill>
                          <w14:schemeClr w14:val="tx1"/>
                        </w14:solidFill>
                      </w14:textFill>
                    </w:rPr>
                  </w:pPr>
                </w:p>
              </w:tc>
              <w:tc>
                <w:tcPr>
                  <w:tcW w:w="1420" w:type="dxa"/>
                </w:tcPr>
                <w:p>
                  <w:pPr>
                    <w:rPr>
                      <w:color w:val="000000" w:themeColor="text1"/>
                      <w:sz w:val="18"/>
                      <w:szCs w:val="18"/>
                      <w14:textFill>
                        <w14:solidFill>
                          <w14:schemeClr w14:val="tx1"/>
                        </w14:solidFill>
                      </w14:textFill>
                    </w:rPr>
                  </w:pP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原辅料的验收</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a.畜、禽肉类（冻品）的验收（O</w:t>
            </w:r>
            <w:r>
              <w:rPr>
                <w:rFonts w:asciiTheme="minorEastAsia" w:hAnsiTheme="minorEastAsia" w:eastAsiaTheme="minorEastAsia"/>
                <w:szCs w:val="21"/>
              </w:rPr>
              <w:t>PRP</w:t>
            </w:r>
            <w:r>
              <w:rPr>
                <w:rFonts w:hint="eastAsia" w:asciiTheme="minorEastAsia" w:hAnsiTheme="minorEastAsia" w:eastAsiaTheme="minorEastAsia"/>
                <w:szCs w:val="21"/>
              </w:rPr>
              <w:t>）</w:t>
            </w:r>
          </w:p>
          <w:tbl>
            <w:tblPr>
              <w:tblStyle w:val="11"/>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03"/>
              <w:gridCol w:w="1774"/>
              <w:gridCol w:w="1040"/>
              <w:gridCol w:w="938"/>
              <w:gridCol w:w="894"/>
              <w:gridCol w:w="8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19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303"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tc>
              <w:tc>
                <w:tcPr>
                  <w:tcW w:w="1774"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关键限值/行动准则</w:t>
                  </w:r>
                </w:p>
              </w:tc>
              <w:tc>
                <w:tcPr>
                  <w:tcW w:w="3750"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1163"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97" w:type="dxa"/>
                  <w:vMerge w:val="continue"/>
                  <w:vAlign w:val="center"/>
                </w:tcPr>
                <w:p>
                  <w:pPr>
                    <w:jc w:val="center"/>
                    <w:rPr>
                      <w:rFonts w:asciiTheme="minorEastAsia" w:hAnsiTheme="minorEastAsia" w:eastAsiaTheme="minorEastAsia"/>
                      <w:sz w:val="18"/>
                      <w:szCs w:val="18"/>
                    </w:rPr>
                  </w:pPr>
                </w:p>
              </w:tc>
              <w:tc>
                <w:tcPr>
                  <w:tcW w:w="1303" w:type="dxa"/>
                  <w:vMerge w:val="continue"/>
                  <w:vAlign w:val="center"/>
                </w:tcPr>
                <w:p>
                  <w:pPr>
                    <w:jc w:val="center"/>
                    <w:rPr>
                      <w:rFonts w:asciiTheme="minorEastAsia" w:hAnsiTheme="minorEastAsia" w:eastAsiaTheme="minorEastAsia"/>
                      <w:sz w:val="18"/>
                      <w:szCs w:val="18"/>
                    </w:rPr>
                  </w:pPr>
                </w:p>
              </w:tc>
              <w:tc>
                <w:tcPr>
                  <w:tcW w:w="1774" w:type="dxa"/>
                  <w:vMerge w:val="continue"/>
                  <w:vAlign w:val="center"/>
                </w:tcPr>
                <w:p>
                  <w:pPr>
                    <w:jc w:val="center"/>
                    <w:rPr>
                      <w:rFonts w:asciiTheme="minorEastAsia" w:hAnsiTheme="minorEastAsia" w:eastAsiaTheme="minorEastAsia"/>
                      <w:sz w:val="18"/>
                      <w:szCs w:val="18"/>
                    </w:rPr>
                  </w:pPr>
                </w:p>
              </w:tc>
              <w:tc>
                <w:tcPr>
                  <w:tcW w:w="1040"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w:t>
                  </w:r>
                </w:p>
              </w:tc>
              <w:tc>
                <w:tcPr>
                  <w:tcW w:w="93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w:t>
                  </w:r>
                </w:p>
              </w:tc>
              <w:tc>
                <w:tcPr>
                  <w:tcW w:w="894"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w:t>
                  </w:r>
                </w:p>
              </w:tc>
              <w:tc>
                <w:tcPr>
                  <w:tcW w:w="87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w:t>
                  </w:r>
                </w:p>
              </w:tc>
              <w:tc>
                <w:tcPr>
                  <w:tcW w:w="1163" w:type="dxa"/>
                  <w:vMerge w:val="continue"/>
                  <w:vAlign w:val="center"/>
                </w:tcPr>
                <w:p>
                  <w:pPr>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19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asciiTheme="minorEastAsia" w:hAnsiTheme="minorEastAsia" w:eastAsiaTheme="minorEastAsia"/>
                      <w:sz w:val="18"/>
                      <w:szCs w:val="18"/>
                    </w:rPr>
                    <w:t>OPRP</w:t>
                  </w:r>
                  <w:r>
                    <w:rPr>
                      <w:rFonts w:hint="eastAsia" w:asciiTheme="minorEastAsia" w:hAnsiTheme="minorEastAsia" w:eastAsiaTheme="minorEastAsia"/>
                      <w:sz w:val="18"/>
                      <w:szCs w:val="18"/>
                    </w:rPr>
                    <w:t>：</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畜禽肉类原料采购验收</w:t>
                  </w:r>
                </w:p>
              </w:tc>
              <w:tc>
                <w:tcPr>
                  <w:tcW w:w="1303"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有害微生物、重金属、挥发性盐基氮、抗生素、促生长素等有害化学物质超标</w:t>
                  </w:r>
                </w:p>
              </w:tc>
              <w:tc>
                <w:tcPr>
                  <w:tcW w:w="1774"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来自合格供方；</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动物检疫证明；</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合格的产品检测报告</w:t>
                  </w:r>
                </w:p>
              </w:tc>
              <w:tc>
                <w:tcPr>
                  <w:tcW w:w="1040"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合格供方</w:t>
                  </w:r>
                </w:p>
              </w:tc>
              <w:tc>
                <w:tcPr>
                  <w:tcW w:w="93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查验</w:t>
                  </w:r>
                </w:p>
              </w:tc>
              <w:tc>
                <w:tcPr>
                  <w:tcW w:w="894"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每批</w:t>
                  </w:r>
                </w:p>
              </w:tc>
              <w:tc>
                <w:tcPr>
                  <w:tcW w:w="87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验收员</w:t>
                  </w:r>
                </w:p>
              </w:tc>
              <w:tc>
                <w:tcPr>
                  <w:tcW w:w="1163" w:type="dxa"/>
                  <w:tcBorders>
                    <w:bottom w:val="single" w:color="auto" w:sz="4" w:space="0"/>
                  </w:tcBorders>
                  <w:vAlign w:val="center"/>
                </w:tcPr>
                <w:p>
                  <w:pPr>
                    <w:spacing w:line="220" w:lineRule="exact"/>
                    <w:rPr>
                      <w:rFonts w:asciiTheme="minorEastAsia" w:hAnsiTheme="minorEastAsia" w:eastAsiaTheme="minorEastAsia"/>
                      <w:snapToGrid w:val="0"/>
                      <w:sz w:val="18"/>
                      <w:szCs w:val="18"/>
                    </w:rPr>
                  </w:pPr>
                  <w:r>
                    <w:rPr>
                      <w:rFonts w:hint="eastAsia" w:asciiTheme="minorEastAsia" w:hAnsiTheme="minorEastAsia" w:eastAsiaTheme="minorEastAsia"/>
                      <w:snapToGrid w:val="0"/>
                      <w:sz w:val="18"/>
                      <w:szCs w:val="18"/>
                    </w:rPr>
                    <w:t>1.供方提供产品检疫、检验报告或证明</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vanish/>
                <w:szCs w:val="21"/>
              </w:rPr>
            </w:pPr>
            <w:r>
              <w:rPr>
                <w:rFonts w:hint="eastAsia" w:asciiTheme="minorEastAsia" w:hAnsiTheme="minorEastAsia" w:eastAsiaTheme="minorEastAsia"/>
                <w:szCs w:val="21"/>
              </w:rPr>
              <w:t>b.冷冻水产类的验收</w:t>
            </w:r>
          </w:p>
          <w:tbl>
            <w:tblPr>
              <w:tblStyle w:val="11"/>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240"/>
              <w:gridCol w:w="1520"/>
              <w:gridCol w:w="1015"/>
              <w:gridCol w:w="932"/>
              <w:gridCol w:w="873"/>
              <w:gridCol w:w="77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758"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240"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p>
                  <w:pPr>
                    <w:spacing w:line="220" w:lineRule="exact"/>
                    <w:rPr>
                      <w:rFonts w:asciiTheme="minorEastAsia" w:hAnsiTheme="minorEastAsia" w:eastAsiaTheme="minorEastAsia"/>
                      <w:b/>
                      <w:sz w:val="18"/>
                      <w:szCs w:val="18"/>
                    </w:rPr>
                  </w:pPr>
                </w:p>
              </w:tc>
              <w:tc>
                <w:tcPr>
                  <w:tcW w:w="1520"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  键  限  值/行动准则</w:t>
                  </w:r>
                </w:p>
              </w:tc>
              <w:tc>
                <w:tcPr>
                  <w:tcW w:w="3597"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105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758" w:type="dxa"/>
                  <w:vMerge w:val="continue"/>
                  <w:tcBorders>
                    <w:bottom w:val="single" w:color="auto" w:sz="4" w:space="0"/>
                  </w:tcBorders>
                  <w:vAlign w:val="center"/>
                </w:tcPr>
                <w:p>
                  <w:pPr>
                    <w:spacing w:line="220" w:lineRule="exact"/>
                    <w:rPr>
                      <w:rFonts w:asciiTheme="minorEastAsia" w:hAnsiTheme="minorEastAsia" w:eastAsiaTheme="minorEastAsia"/>
                      <w:sz w:val="18"/>
                      <w:szCs w:val="18"/>
                    </w:rPr>
                  </w:pPr>
                </w:p>
              </w:tc>
              <w:tc>
                <w:tcPr>
                  <w:tcW w:w="1240" w:type="dxa"/>
                  <w:vMerge w:val="continue"/>
                  <w:vAlign w:val="center"/>
                </w:tcPr>
                <w:p>
                  <w:pPr>
                    <w:spacing w:line="220" w:lineRule="exact"/>
                    <w:rPr>
                      <w:rFonts w:asciiTheme="minorEastAsia" w:hAnsiTheme="minorEastAsia" w:eastAsiaTheme="minorEastAsia"/>
                      <w:sz w:val="18"/>
                      <w:szCs w:val="18"/>
                    </w:rPr>
                  </w:pPr>
                </w:p>
              </w:tc>
              <w:tc>
                <w:tcPr>
                  <w:tcW w:w="1520" w:type="dxa"/>
                  <w:vMerge w:val="continue"/>
                  <w:vAlign w:val="center"/>
                </w:tcPr>
                <w:p>
                  <w:pPr>
                    <w:spacing w:line="220" w:lineRule="exact"/>
                    <w:rPr>
                      <w:rFonts w:asciiTheme="minorEastAsia" w:hAnsiTheme="minorEastAsia" w:eastAsiaTheme="minorEastAsia"/>
                      <w:sz w:val="18"/>
                      <w:szCs w:val="18"/>
                    </w:rPr>
                  </w:pPr>
                </w:p>
              </w:tc>
              <w:tc>
                <w:tcPr>
                  <w:tcW w:w="1015"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w:t>
                  </w:r>
                </w:p>
              </w:tc>
              <w:tc>
                <w:tcPr>
                  <w:tcW w:w="932"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w:t>
                  </w:r>
                </w:p>
              </w:tc>
              <w:tc>
                <w:tcPr>
                  <w:tcW w:w="873"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w:t>
                  </w:r>
                </w:p>
              </w:tc>
              <w:tc>
                <w:tcPr>
                  <w:tcW w:w="777"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w:t>
                  </w:r>
                </w:p>
              </w:tc>
              <w:tc>
                <w:tcPr>
                  <w:tcW w:w="1057" w:type="dxa"/>
                  <w:vMerge w:val="continue"/>
                  <w:vAlign w:val="center"/>
                </w:tcPr>
                <w:p>
                  <w:pPr>
                    <w:spacing w:line="22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758" w:type="dxa"/>
                  <w:tcBorders>
                    <w:top w:val="single" w:color="auto" w:sz="4" w:space="0"/>
                    <w:bottom w:val="single" w:color="auto" w:sz="4" w:space="0"/>
                  </w:tcBorders>
                  <w:vAlign w:val="center"/>
                </w:tcPr>
                <w:p>
                  <w:pPr>
                    <w:spacing w:line="220" w:lineRule="exact"/>
                    <w:rPr>
                      <w:rFonts w:asciiTheme="minorEastAsia" w:hAnsiTheme="minorEastAsia" w:eastAsiaTheme="minorEastAsia"/>
                      <w:snapToGrid w:val="0"/>
                      <w:color w:val="000000"/>
                      <w:sz w:val="18"/>
                      <w:szCs w:val="18"/>
                    </w:rPr>
                  </w:pPr>
                  <w:r>
                    <w:rPr>
                      <w:rFonts w:asciiTheme="minorEastAsia" w:hAnsiTheme="minorEastAsia" w:eastAsiaTheme="minorEastAsia"/>
                      <w:sz w:val="18"/>
                      <w:szCs w:val="18"/>
                    </w:rPr>
                    <w:t>OPRP</w:t>
                  </w:r>
                  <w:r>
                    <w:rPr>
                      <w:rFonts w:hint="eastAsia" w:asciiTheme="minorEastAsia" w:hAnsiTheme="minorEastAsia" w:eastAsiaTheme="minorEastAsia"/>
                      <w:snapToGrid w:val="0"/>
                      <w:color w:val="000000"/>
                      <w:sz w:val="18"/>
                      <w:szCs w:val="18"/>
                    </w:rPr>
                    <w:t xml:space="preserve"> ：</w:t>
                  </w:r>
                </w:p>
                <w:p>
                  <w:pPr>
                    <w:spacing w:line="220" w:lineRule="exact"/>
                    <w:rPr>
                      <w:rFonts w:asciiTheme="minorEastAsia" w:hAnsiTheme="minorEastAsia" w:eastAsiaTheme="minorEastAsia"/>
                      <w:snapToGrid w:val="0"/>
                      <w:color w:val="000000"/>
                      <w:sz w:val="18"/>
                      <w:szCs w:val="18"/>
                    </w:rPr>
                  </w:pPr>
                  <w:r>
                    <w:rPr>
                      <w:rFonts w:hint="eastAsia" w:asciiTheme="minorEastAsia" w:hAnsiTheme="minorEastAsia" w:eastAsiaTheme="minorEastAsia"/>
                      <w:color w:val="000000"/>
                      <w:sz w:val="18"/>
                      <w:szCs w:val="18"/>
                    </w:rPr>
                    <w:t>冷冻水产类的验收</w:t>
                  </w:r>
                </w:p>
              </w:tc>
              <w:tc>
                <w:tcPr>
                  <w:tcW w:w="1240"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bCs/>
                      <w:color w:val="000000"/>
                      <w:sz w:val="18"/>
                      <w:szCs w:val="18"/>
                    </w:rPr>
                    <w:t>病原体存活</w:t>
                  </w:r>
                </w:p>
              </w:tc>
              <w:tc>
                <w:tcPr>
                  <w:tcW w:w="1520"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bCs/>
                      <w:color w:val="000000"/>
                      <w:sz w:val="18"/>
                      <w:szCs w:val="18"/>
                    </w:rPr>
                    <w:t>深冷产品＜－18℃</w:t>
                  </w:r>
                </w:p>
              </w:tc>
              <w:tc>
                <w:tcPr>
                  <w:tcW w:w="1015" w:type="dxa"/>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产品温度</w:t>
                  </w:r>
                </w:p>
              </w:tc>
              <w:tc>
                <w:tcPr>
                  <w:tcW w:w="932" w:type="dxa"/>
                  <w:vAlign w:val="center"/>
                </w:tcPr>
                <w:p>
                  <w:pPr>
                    <w:spacing w:line="220" w:lineRule="exac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温度测量</w:t>
                  </w:r>
                </w:p>
              </w:tc>
              <w:tc>
                <w:tcPr>
                  <w:tcW w:w="873"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每批</w:t>
                  </w:r>
                </w:p>
              </w:tc>
              <w:tc>
                <w:tcPr>
                  <w:tcW w:w="77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验收员</w:t>
                  </w:r>
                </w:p>
              </w:tc>
              <w:tc>
                <w:tcPr>
                  <w:tcW w:w="105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产品进货验收记录</w:t>
                  </w:r>
                </w:p>
              </w:tc>
            </w:tr>
          </w:tbl>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关键控制点（CCP）</w:t>
            </w:r>
          </w:p>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冷冻、冷藏储存</w:t>
            </w:r>
            <w:r>
              <w:rPr>
                <w:rFonts w:hint="eastAsia" w:asciiTheme="minorEastAsia" w:hAnsiTheme="minorEastAsia" w:eastAsiaTheme="minorEastAsia"/>
                <w:szCs w:val="21"/>
                <w:lang w:eastAsia="zh-CN"/>
              </w:rPr>
              <w:t>：</w:t>
            </w:r>
          </w:p>
          <w:tbl>
            <w:tblPr>
              <w:tblStyle w:val="11"/>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68"/>
              <w:gridCol w:w="1597"/>
              <w:gridCol w:w="988"/>
              <w:gridCol w:w="988"/>
              <w:gridCol w:w="988"/>
              <w:gridCol w:w="99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456"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关键控制点（CCP）（1）</w:t>
                  </w:r>
                </w:p>
              </w:tc>
              <w:tc>
                <w:tcPr>
                  <w:tcW w:w="86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显著危害</w:t>
                  </w:r>
                </w:p>
              </w:tc>
              <w:tc>
                <w:tcPr>
                  <w:tcW w:w="159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w:t>
                  </w:r>
                </w:p>
              </w:tc>
              <w:tc>
                <w:tcPr>
                  <w:tcW w:w="3961"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1305"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868"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59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对象</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方法</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频率</w:t>
                  </w:r>
                </w:p>
              </w:tc>
              <w:tc>
                <w:tcPr>
                  <w:tcW w:w="99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人员</w:t>
                  </w:r>
                </w:p>
              </w:tc>
              <w:tc>
                <w:tcPr>
                  <w:tcW w:w="1305" w:type="dxa"/>
                  <w:vMerge w:val="continue"/>
                  <w:shd w:val="clear" w:color="auto" w:fill="auto"/>
                  <w:vAlign w:val="center"/>
                </w:tcPr>
                <w:p>
                  <w:pPr>
                    <w:spacing w:line="22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456" w:type="dxa"/>
                  <w:shd w:val="clear" w:color="auto" w:fill="auto"/>
                  <w:vAlign w:val="center"/>
                </w:tcPr>
                <w:p>
                  <w:pPr>
                    <w:spacing w:line="2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b/>
                      <w:szCs w:val="21"/>
                    </w:rPr>
                    <w:t>禽肉类原料的冷冻、冷藏储存</w:t>
                  </w:r>
                </w:p>
              </w:tc>
              <w:tc>
                <w:tcPr>
                  <w:tcW w:w="86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病</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原体存活</w:t>
                  </w:r>
                </w:p>
              </w:tc>
              <w:tc>
                <w:tcPr>
                  <w:tcW w:w="159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冻结库温度</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-15~-20℃以下。冷藏库温度保持0~</w:t>
                  </w: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区分放置并隔离，控制温湿度</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观察</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每天</w:t>
                  </w:r>
                </w:p>
              </w:tc>
              <w:tc>
                <w:tcPr>
                  <w:tcW w:w="99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仓管员</w:t>
                  </w:r>
                </w:p>
              </w:tc>
              <w:tc>
                <w:tcPr>
                  <w:tcW w:w="1305"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napToGrid w:val="0"/>
                      <w:szCs w:val="21"/>
                    </w:rPr>
                    <w:t>巡查记录表</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配送</w:t>
            </w:r>
          </w:p>
          <w:tbl>
            <w:tblPr>
              <w:tblStyle w:val="11"/>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21"/>
              <w:gridCol w:w="1212"/>
              <w:gridCol w:w="993"/>
              <w:gridCol w:w="993"/>
              <w:gridCol w:w="993"/>
              <w:gridCol w:w="99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24"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关键控制点（CCP）（1）</w:t>
                  </w:r>
                </w:p>
              </w:tc>
              <w:tc>
                <w:tcPr>
                  <w:tcW w:w="1021"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显著危害          </w:t>
                  </w:r>
                </w:p>
              </w:tc>
              <w:tc>
                <w:tcPr>
                  <w:tcW w:w="1212"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w:t>
                  </w:r>
                </w:p>
              </w:tc>
              <w:tc>
                <w:tcPr>
                  <w:tcW w:w="3973"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131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524" w:type="dxa"/>
                  <w:vMerge w:val="continue"/>
                  <w:shd w:val="clear" w:color="auto" w:fill="auto"/>
                  <w:vAlign w:val="center"/>
                </w:tcPr>
                <w:p>
                  <w:pPr>
                    <w:spacing w:line="220" w:lineRule="exact"/>
                    <w:rPr>
                      <w:rFonts w:asciiTheme="minorEastAsia" w:hAnsiTheme="minorEastAsia" w:eastAsiaTheme="minorEastAsia"/>
                      <w:szCs w:val="21"/>
                    </w:rPr>
                  </w:pPr>
                </w:p>
              </w:tc>
              <w:tc>
                <w:tcPr>
                  <w:tcW w:w="1021" w:type="dxa"/>
                  <w:vMerge w:val="continue"/>
                  <w:shd w:val="clear" w:color="auto" w:fill="auto"/>
                  <w:vAlign w:val="center"/>
                </w:tcPr>
                <w:p>
                  <w:pPr>
                    <w:spacing w:line="220" w:lineRule="exact"/>
                    <w:rPr>
                      <w:rFonts w:asciiTheme="minorEastAsia" w:hAnsiTheme="minorEastAsia" w:eastAsiaTheme="minorEastAsia"/>
                      <w:szCs w:val="21"/>
                    </w:rPr>
                  </w:pPr>
                </w:p>
              </w:tc>
              <w:tc>
                <w:tcPr>
                  <w:tcW w:w="1212" w:type="dxa"/>
                  <w:vMerge w:val="continue"/>
                  <w:shd w:val="clear" w:color="auto" w:fill="auto"/>
                  <w:vAlign w:val="center"/>
                </w:tcPr>
                <w:p>
                  <w:pPr>
                    <w:spacing w:line="220" w:lineRule="exact"/>
                    <w:rPr>
                      <w:rFonts w:asciiTheme="minorEastAsia" w:hAnsiTheme="minorEastAsia" w:eastAsiaTheme="minorEastAsia"/>
                      <w:szCs w:val="21"/>
                    </w:rPr>
                  </w:pP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对象</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方法</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频率</w:t>
                  </w:r>
                </w:p>
              </w:tc>
              <w:tc>
                <w:tcPr>
                  <w:tcW w:w="994"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人员</w:t>
                  </w:r>
                </w:p>
              </w:tc>
              <w:tc>
                <w:tcPr>
                  <w:tcW w:w="1317" w:type="dxa"/>
                  <w:vMerge w:val="continue"/>
                  <w:shd w:val="clear" w:color="auto" w:fill="auto"/>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524" w:type="dxa"/>
                  <w:shd w:val="clear" w:color="auto" w:fill="auto"/>
                  <w:vAlign w:val="center"/>
                </w:tcPr>
                <w:p>
                  <w:pPr>
                    <w:spacing w:line="220" w:lineRule="exact"/>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tc>
              <w:tc>
                <w:tcPr>
                  <w:tcW w:w="1021"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病原体存活</w:t>
                  </w:r>
                </w:p>
              </w:tc>
              <w:tc>
                <w:tcPr>
                  <w:tcW w:w="1212" w:type="dxa"/>
                  <w:shd w:val="clear" w:color="auto" w:fill="auto"/>
                  <w:vAlign w:val="center"/>
                </w:tcPr>
                <w:p>
                  <w:pPr>
                    <w:spacing w:line="220" w:lineRule="exact"/>
                    <w:rPr>
                      <w:rFonts w:asciiTheme="minorEastAsia" w:hAnsiTheme="minorEastAsia" w:eastAsiaTheme="minorEastAsia"/>
                      <w:szCs w:val="21"/>
                    </w:rPr>
                  </w:pPr>
                  <w:bookmarkStart w:id="0" w:name="_GoBack"/>
                  <w:r>
                    <w:rPr>
                      <w:rFonts w:hint="eastAsia" w:asciiTheme="minorEastAsia" w:hAnsiTheme="minorEastAsia" w:eastAsiaTheme="minorEastAsia"/>
                      <w:szCs w:val="21"/>
                    </w:rPr>
                    <w:t>温度不高于10~15℃（冷鲜产品冷藏）温度不高于0度（冷冻产品）</w:t>
                  </w:r>
                  <w:bookmarkEnd w:id="0"/>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区分放置并做好隔离；控制配送车辆温湿度</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技能观察及温度测量</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 xml:space="preserve"> 每车</w:t>
                  </w:r>
                </w:p>
              </w:tc>
              <w:tc>
                <w:tcPr>
                  <w:tcW w:w="994"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配送员</w:t>
                  </w:r>
                </w:p>
              </w:tc>
              <w:tc>
                <w:tcPr>
                  <w:tcW w:w="1317"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napToGrid w:val="0"/>
                      <w:szCs w:val="21"/>
                    </w:rPr>
                    <w:t>人员培训及能力验证，进行微生物检测验证</w:t>
                  </w:r>
                </w:p>
              </w:tc>
            </w:tr>
          </w:tbl>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u w:val="single"/>
                <w:lang w:val="en-US" w:eastAsia="zh-CN"/>
              </w:rPr>
              <w:t>经询问了解，审核周期内危害控制计划未发生变化，但未对果蔬、禽蛋的原辅料特性、危害分析进行分析评估，已现场沟通，后期改进。</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74" w:type="dxa"/>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10223"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181"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2174" w:type="dxa"/>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10223" w:type="dxa"/>
            <w:shd w:val="clear" w:color="auto" w:fill="auto"/>
          </w:tcPr>
          <w:p>
            <w:r>
              <w:t>OPRP的实施情况：</w:t>
            </w:r>
            <w:r>
              <w:rPr>
                <w:b/>
                <w:bCs/>
              </w:rPr>
              <w:t xml:space="preserve"> </w:t>
            </w:r>
            <w:r>
              <w:rPr>
                <w:rFonts w:hint="eastAsia"/>
                <w:b/>
                <w:bCs/>
              </w:rPr>
              <w:t>（见</w:t>
            </w:r>
            <w:r>
              <w:rPr>
                <w:rFonts w:hint="eastAsia"/>
                <w:b/>
                <w:bCs/>
                <w:lang w:val="en-US" w:eastAsia="zh-CN"/>
              </w:rPr>
              <w:t>品控部</w:t>
            </w:r>
            <w:r>
              <w:rPr>
                <w:rFonts w:hint="eastAsia"/>
                <w:b/>
                <w:bCs/>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2"/>
            </w:pPr>
          </w:p>
          <w:p>
            <w:r>
              <w:t>HACCP的实施情况：</w:t>
            </w:r>
            <w:r>
              <w:rPr>
                <w:rFonts w:hint="eastAsia"/>
                <w:b/>
                <w:bCs/>
              </w:rPr>
              <w:t>（见配</w:t>
            </w:r>
            <w:r>
              <w:rPr>
                <w:b/>
                <w:bCs/>
              </w:rPr>
              <w:t>送</w:t>
            </w:r>
            <w:r>
              <w:rPr>
                <w:rFonts w:hint="eastAsia"/>
                <w:b/>
                <w:bCs/>
              </w:rPr>
              <w:t>部审核记录）</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181"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PRP和危害控制计划文件的更新</w:t>
            </w:r>
          </w:p>
        </w:tc>
        <w:tc>
          <w:tcPr>
            <w:tcW w:w="936" w:type="dxa"/>
            <w:vMerge w:val="restart"/>
            <w:shd w:val="clear" w:color="auto" w:fill="auto"/>
          </w:tcPr>
          <w:p>
            <w:r>
              <w:t>F8. 6</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制定OPRP计划和（或） HACCP计划后， 组织对如下信息进行更新：</w:t>
            </w:r>
          </w:p>
          <w:p>
            <w:r>
              <w:rPr/>
              <w:sym w:font="Wingdings" w:char="00FE"/>
            </w:r>
            <w:r>
              <w:rPr>
                <w:rFonts w:hint="eastAsia"/>
                <w:lang w:val="en-US" w:eastAsia="zh-CN"/>
              </w:rPr>
              <w:t>审核周期内</w:t>
            </w:r>
            <w:r>
              <w:t>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74" w:type="dxa"/>
            <w:vMerge w:val="restart"/>
            <w:shd w:val="clear" w:color="auto" w:fill="auto"/>
          </w:tcPr>
          <w:p>
            <w:r>
              <w:t>与 PRP、危害控制计划有关的验证</w:t>
            </w:r>
          </w:p>
          <w:p/>
        </w:tc>
        <w:tc>
          <w:tcPr>
            <w:tcW w:w="936" w:type="dxa"/>
            <w:vMerge w:val="restart"/>
            <w:shd w:val="clear" w:color="auto" w:fill="auto"/>
          </w:tcPr>
          <w:p>
            <w:r>
              <w:t>F8.8.1</w:t>
            </w:r>
          </w:p>
          <w:p/>
        </w:tc>
        <w:tc>
          <w:tcPr>
            <w:tcW w:w="745" w:type="dxa"/>
            <w:shd w:val="clear" w:color="auto" w:fill="auto"/>
          </w:tcPr>
          <w:p>
            <w:r>
              <w:t>文件名称</w:t>
            </w:r>
          </w:p>
        </w:tc>
        <w:tc>
          <w:tcPr>
            <w:tcW w:w="1022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181" w:type="dxa"/>
            <w:vMerge w:val="restart"/>
            <w:shd w:val="clear" w:color="auto" w:fill="auto"/>
          </w:tcPr>
          <w:p>
            <w:r>
              <w:rPr/>
              <w:sym w:font="Wingdings" w:char="00FE"/>
            </w:r>
            <w:r>
              <w:t>符合</w:t>
            </w:r>
          </w:p>
          <w:p>
            <w:r>
              <w:rPr/>
              <w:sym w:font="Wingdings" w:char="00A8"/>
            </w:r>
            <w:r>
              <w:t>不符合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rFonts w:hint="eastAsia" w:eastAsia="宋体"/>
                      <w:szCs w:val="21"/>
                      <w:lang w:val="en-US" w:eastAsia="zh-CN"/>
                    </w:rPr>
                  </w:pPr>
                  <w:r>
                    <w:rPr>
                      <w:szCs w:val="21"/>
                    </w:rPr>
                    <w:t>每年一</w:t>
                  </w:r>
                  <w:r>
                    <w:rPr>
                      <w:rFonts w:hint="eastAsia"/>
                      <w:szCs w:val="21"/>
                      <w:lang w:val="en-US" w:eastAsia="zh-CN"/>
                    </w:rPr>
                    <w:t>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2"/>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主要以清洁为主，见配送部审核记录</w:t>
            </w:r>
            <w:r>
              <w:rPr>
                <w:color w:val="000000" w:themeColor="text1"/>
                <w:u w:val="single"/>
                <w14:textFill>
                  <w14:solidFill>
                    <w14:schemeClr w14:val="tx1"/>
                  </w14:solidFill>
                </w14:textFill>
              </w:rPr>
              <w:t xml:space="preserve"> </w:t>
            </w:r>
            <w:r>
              <w:rPr>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lang w:val="en-US" w:eastAsia="zh-CN"/>
              </w:rPr>
              <w:t>主要用于场地以及设备的清洗，以感官检查为主</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验证活动结果的分析</w:t>
            </w:r>
          </w:p>
        </w:tc>
        <w:tc>
          <w:tcPr>
            <w:tcW w:w="936" w:type="dxa"/>
            <w:vMerge w:val="restart"/>
            <w:shd w:val="clear" w:color="auto" w:fill="auto"/>
          </w:tcPr>
          <w:p>
            <w:r>
              <w:t>F8.8.2</w:t>
            </w:r>
          </w:p>
          <w:p/>
        </w:tc>
        <w:tc>
          <w:tcPr>
            <w:tcW w:w="745" w:type="dxa"/>
            <w:shd w:val="clear" w:color="auto" w:fill="auto"/>
          </w:tcPr>
          <w:p>
            <w:r>
              <w:t>文件名称</w:t>
            </w:r>
          </w:p>
        </w:tc>
        <w:tc>
          <w:tcPr>
            <w:tcW w:w="1022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rFonts w:hint="eastAsia"/>
                <w:b/>
                <w:bCs/>
                <w:szCs w:val="21"/>
                <w:u w:val="single"/>
                <w:lang w:val="en-US" w:eastAsia="zh-CN"/>
              </w:rPr>
              <w:t>2-03-09</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w:t>
            </w:r>
            <w:r>
              <w:rPr>
                <w:rFonts w:hint="eastAsia"/>
                <w:b/>
                <w:bCs/>
                <w:szCs w:val="21"/>
                <w:u w:val="single"/>
                <w:lang w:val="en-US" w:eastAsia="zh-CN"/>
              </w:rPr>
              <w:t>危害控制计划验证</w:t>
            </w:r>
            <w:r>
              <w:rPr>
                <w:rFonts w:hint="eastAsia"/>
                <w:b/>
                <w:bCs/>
                <w:szCs w:val="21"/>
                <w:u w:val="single"/>
              </w:rPr>
              <w:t>记录表》，20</w:t>
            </w:r>
            <w:r>
              <w:rPr>
                <w:rFonts w:hint="eastAsia"/>
                <w:b/>
                <w:bCs/>
                <w:szCs w:val="21"/>
                <w:u w:val="single"/>
                <w:lang w:val="en-US" w:eastAsia="zh-CN"/>
              </w:rPr>
              <w:t>22-03-10</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w:t>
            </w:r>
            <w:r>
              <w:rPr>
                <w:rFonts w:hint="eastAsia"/>
                <w:b/>
                <w:bCs/>
                <w:szCs w:val="21"/>
                <w:u w:val="single"/>
                <w:lang w:val="en-US" w:eastAsia="zh-CN"/>
              </w:rPr>
              <w:t>2-03-25</w:t>
            </w:r>
            <w:r>
              <w:rPr>
                <w:rFonts w:hint="eastAsia"/>
                <w:b/>
                <w:bCs/>
                <w:szCs w:val="21"/>
                <w:u w:val="single"/>
              </w:rPr>
              <w:t>，结论：控制有效</w:t>
            </w:r>
            <w:r>
              <w:rPr>
                <w:b/>
                <w:bCs/>
                <w:szCs w:val="21"/>
                <w:u w:val="single"/>
              </w:rPr>
              <w:t>。</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tcPr>
          <w:p>
            <w:r>
              <w:t>分析与评价</w:t>
            </w:r>
          </w:p>
        </w:tc>
        <w:tc>
          <w:tcPr>
            <w:tcW w:w="936" w:type="dxa"/>
            <w:vMerge w:val="restart"/>
          </w:tcPr>
          <w:p>
            <w:r>
              <w:t>F9.1.2</w:t>
            </w:r>
          </w:p>
        </w:tc>
        <w:tc>
          <w:tcPr>
            <w:tcW w:w="745" w:type="dxa"/>
          </w:tcPr>
          <w:p>
            <w:r>
              <w:t>文件名称</w:t>
            </w:r>
          </w:p>
        </w:tc>
        <w:tc>
          <w:tcPr>
            <w:tcW w:w="102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181"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4" w:type="dxa"/>
            <w:vMerge w:val="continue"/>
          </w:tcPr>
          <w:p/>
        </w:tc>
        <w:tc>
          <w:tcPr>
            <w:tcW w:w="936" w:type="dxa"/>
            <w:vMerge w:val="continue"/>
          </w:tcPr>
          <w:p/>
        </w:tc>
        <w:tc>
          <w:tcPr>
            <w:tcW w:w="745" w:type="dxa"/>
          </w:tcPr>
          <w:p>
            <w:r>
              <w:t>运行证据</w:t>
            </w:r>
          </w:p>
        </w:tc>
        <w:tc>
          <w:tcPr>
            <w:tcW w:w="10223" w:type="dxa"/>
          </w:tcPr>
          <w:p>
            <w:r>
              <w:t>组织对下列监测和测量产生的适当数据和信息进行分析和评估，包括：</w:t>
            </w:r>
          </w:p>
          <w:p>
            <w:pPr>
              <w:rPr>
                <w:rFonts w:hint="eastAsia" w:eastAsia="宋体"/>
                <w:lang w:eastAsia="zh-CN"/>
              </w:rPr>
            </w:pPr>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pPr>
              <w:rPr>
                <w:rFonts w:hint="default" w:eastAsia="宋体"/>
                <w:lang w:val="en-US" w:eastAsia="zh-CN"/>
              </w:rPr>
            </w:pPr>
            <w:r>
              <w:rPr>
                <w:color w:val="000000"/>
                <w:szCs w:val="21"/>
              </w:rPr>
              <w:t>□因果图 □柱状图 □ 饼状图 □SPC图 □排列图</w:t>
            </w:r>
            <w:r>
              <w:t>☑</w:t>
            </w:r>
            <w:r>
              <w:rPr>
                <w:color w:val="000000"/>
                <w:szCs w:val="21"/>
              </w:rPr>
              <w:t>其他</w:t>
            </w:r>
            <w:r>
              <w:rPr>
                <w:rFonts w:hint="eastAsia"/>
                <w:color w:val="000000"/>
                <w:szCs w:val="21"/>
                <w:lang w:eastAsia="zh-CN"/>
              </w:rPr>
              <w:t>——</w:t>
            </w:r>
            <w:r>
              <w:rPr>
                <w:rFonts w:hint="eastAsia"/>
                <w:color w:val="000000"/>
                <w:szCs w:val="21"/>
                <w:lang w:val="en-US" w:eastAsia="zh-CN"/>
              </w:rPr>
              <w:t>简单数据统计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eastAsia" w:eastAsia="宋体"/>
                <w:lang w:eastAsia="zh-CN"/>
              </w:rPr>
            </w:pPr>
            <w:r>
              <w:t>见《验证结果分析报告》</w:t>
            </w:r>
            <w:r>
              <w:rPr>
                <w:rFonts w:hint="eastAsia"/>
                <w:lang w:eastAsia="zh-CN"/>
              </w:rPr>
              <w:t>、《</w:t>
            </w:r>
            <w:r>
              <w:rPr>
                <w:rFonts w:hint="eastAsia"/>
                <w:lang w:val="en-US" w:eastAsia="zh-CN"/>
              </w:rPr>
              <w:t>管理评审</w:t>
            </w:r>
            <w:r>
              <w:rPr>
                <w:rFonts w:hint="eastAsia"/>
                <w:lang w:eastAsia="zh-CN"/>
              </w:rPr>
              <w:t>》</w:t>
            </w:r>
          </w:p>
        </w:tc>
        <w:tc>
          <w:tcPr>
            <w:tcW w:w="1181"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765" w:firstLineChars="450"/>
      <w:jc w:val="left"/>
      <w:rPr>
        <w:rStyle w:val="18"/>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-80645</wp:posOffset>
          </wp:positionH>
          <wp:positionV relativeFrom="paragraph">
            <wp:posOffset>-2540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2D7F"/>
    <w:rsid w:val="001A5750"/>
    <w:rsid w:val="001C015D"/>
    <w:rsid w:val="001C4036"/>
    <w:rsid w:val="001C7883"/>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305B8F"/>
    <w:rsid w:val="00305EC0"/>
    <w:rsid w:val="00307AF7"/>
    <w:rsid w:val="003108C2"/>
    <w:rsid w:val="003138A8"/>
    <w:rsid w:val="00314AF6"/>
    <w:rsid w:val="0032578F"/>
    <w:rsid w:val="00327D4A"/>
    <w:rsid w:val="00335FBB"/>
    <w:rsid w:val="00337922"/>
    <w:rsid w:val="00340867"/>
    <w:rsid w:val="003456A2"/>
    <w:rsid w:val="00345CA7"/>
    <w:rsid w:val="00353F23"/>
    <w:rsid w:val="003565F6"/>
    <w:rsid w:val="003755E6"/>
    <w:rsid w:val="00376ADE"/>
    <w:rsid w:val="003807AA"/>
    <w:rsid w:val="00380837"/>
    <w:rsid w:val="0038228C"/>
    <w:rsid w:val="0038333F"/>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853"/>
    <w:rsid w:val="00765B5F"/>
    <w:rsid w:val="007757F3"/>
    <w:rsid w:val="00781FEB"/>
    <w:rsid w:val="0078436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74E10"/>
    <w:rsid w:val="00A80636"/>
    <w:rsid w:val="00A856B9"/>
    <w:rsid w:val="00A87338"/>
    <w:rsid w:val="00A92316"/>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228"/>
    <w:rsid w:val="00C63768"/>
    <w:rsid w:val="00C658AB"/>
    <w:rsid w:val="00C72A05"/>
    <w:rsid w:val="00C7514B"/>
    <w:rsid w:val="00C77034"/>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F1100"/>
    <w:rsid w:val="00E10A4B"/>
    <w:rsid w:val="00E12658"/>
    <w:rsid w:val="00E16D3B"/>
    <w:rsid w:val="00E23BC1"/>
    <w:rsid w:val="00E261AE"/>
    <w:rsid w:val="00E348B3"/>
    <w:rsid w:val="00E361DE"/>
    <w:rsid w:val="00E402CD"/>
    <w:rsid w:val="00E43FFD"/>
    <w:rsid w:val="00E46E99"/>
    <w:rsid w:val="00E6224C"/>
    <w:rsid w:val="00E63724"/>
    <w:rsid w:val="00E7240B"/>
    <w:rsid w:val="00E7379E"/>
    <w:rsid w:val="00E73DD8"/>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13341"/>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569E9"/>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5323F"/>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39A1"/>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4430DC"/>
    <w:rsid w:val="44586E1C"/>
    <w:rsid w:val="447A268A"/>
    <w:rsid w:val="44A527AB"/>
    <w:rsid w:val="44A567F5"/>
    <w:rsid w:val="453B1EBC"/>
    <w:rsid w:val="45635AEC"/>
    <w:rsid w:val="45BA54FA"/>
    <w:rsid w:val="45C810D7"/>
    <w:rsid w:val="45D21E5B"/>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D32AE1"/>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474E44"/>
    <w:rsid w:val="724D262A"/>
    <w:rsid w:val="72702455"/>
    <w:rsid w:val="728F2E47"/>
    <w:rsid w:val="72973011"/>
    <w:rsid w:val="72CD6505"/>
    <w:rsid w:val="72E25592"/>
    <w:rsid w:val="72E42D1B"/>
    <w:rsid w:val="72E75DED"/>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C7432F"/>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annotation text"/>
    <w:basedOn w:val="1"/>
    <w:link w:val="22"/>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5"/>
    <w:next w:val="5"/>
    <w:link w:val="23"/>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5"/>
    <w:semiHidden/>
    <w:qFormat/>
    <w:uiPriority w:val="99"/>
    <w:rPr>
      <w:kern w:val="2"/>
      <w:sz w:val="21"/>
    </w:rPr>
  </w:style>
  <w:style w:type="character" w:customStyle="1" w:styleId="23">
    <w:name w:val="批注主题 字符"/>
    <w:basedOn w:val="22"/>
    <w:link w:val="10"/>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7544</Words>
  <Characters>8383</Characters>
  <Lines>99</Lines>
  <Paragraphs>28</Paragraphs>
  <TotalTime>7</TotalTime>
  <ScaleCrop>false</ScaleCrop>
  <LinksUpToDate>false</LinksUpToDate>
  <CharactersWithSpaces>9523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2022-05-15T06:57:33Z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59777BC33BE147EA923F46017B45EC7C</vt:lpwstr>
  </property>
</Properties>
</file>