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2149"/>
        <w:gridCol w:w="22"/>
        <w:gridCol w:w="938"/>
        <w:gridCol w:w="745"/>
        <w:gridCol w:w="9255"/>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3"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0" w:type="dxa"/>
            <w:gridSpan w:val="2"/>
            <w:vAlign w:val="center"/>
          </w:tcPr>
          <w:p>
            <w:pPr>
              <w:rPr>
                <w:rFonts w:hint="eastAsia" w:eastAsia="宋体"/>
                <w:sz w:val="24"/>
                <w:szCs w:val="24"/>
                <w:lang w:eastAsia="zh-CN"/>
              </w:rPr>
            </w:pPr>
            <w:r>
              <w:rPr>
                <w:rFonts w:hint="eastAsia"/>
                <w:sz w:val="24"/>
                <w:szCs w:val="24"/>
              </w:rPr>
              <w:t xml:space="preserve">受审核部门：管理层 </w:t>
            </w:r>
            <w:r>
              <w:rPr>
                <w:sz w:val="24"/>
                <w:szCs w:val="24"/>
              </w:rPr>
              <w:t xml:space="preserve">        </w:t>
            </w:r>
            <w:r>
              <w:rPr>
                <w:rFonts w:hint="eastAsia"/>
                <w:sz w:val="24"/>
                <w:szCs w:val="24"/>
                <w:lang w:val="en-US" w:eastAsia="zh-CN"/>
              </w:rPr>
              <w:t>负责人：李建军</w:t>
            </w:r>
            <w:r>
              <w:rPr>
                <w:sz w:val="24"/>
                <w:szCs w:val="24"/>
              </w:rPr>
              <w:t xml:space="preserve">    </w:t>
            </w:r>
            <w:r>
              <w:rPr>
                <w:rFonts w:hint="eastAsia"/>
                <w:sz w:val="24"/>
                <w:szCs w:val="24"/>
              </w:rPr>
              <w:t>陪同人员：</w:t>
            </w:r>
            <w:r>
              <w:rPr>
                <w:rFonts w:hint="eastAsia"/>
                <w:sz w:val="24"/>
                <w:szCs w:val="24"/>
                <w:lang w:val="en-US" w:eastAsia="zh-CN"/>
              </w:rPr>
              <w:t>李梦</w:t>
            </w:r>
          </w:p>
        </w:tc>
        <w:tc>
          <w:tcPr>
            <w:tcW w:w="159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3" w:type="dxa"/>
            <w:gridSpan w:val="2"/>
            <w:vMerge w:val="continue"/>
            <w:vAlign w:val="center"/>
          </w:tcPr>
          <w:p/>
        </w:tc>
        <w:tc>
          <w:tcPr>
            <w:tcW w:w="960" w:type="dxa"/>
            <w:gridSpan w:val="2"/>
            <w:vMerge w:val="continue"/>
            <w:vAlign w:val="center"/>
          </w:tcPr>
          <w:p/>
        </w:tc>
        <w:tc>
          <w:tcPr>
            <w:tcW w:w="10000" w:type="dxa"/>
            <w:gridSpan w:val="2"/>
            <w:vAlign w:val="center"/>
          </w:tcPr>
          <w:p>
            <w:pPr>
              <w:spacing w:before="120"/>
              <w:rPr>
                <w:rFonts w:hint="default" w:eastAsia="宋体"/>
                <w:lang w:val="en-US" w:eastAsia="zh-CN"/>
              </w:rPr>
            </w:pPr>
            <w:r>
              <w:rPr>
                <w:rFonts w:hint="eastAsia"/>
                <w:sz w:val="24"/>
                <w:szCs w:val="24"/>
              </w:rPr>
              <w:t>审核员：肖新龙</w:t>
            </w:r>
            <w:r>
              <w:rPr>
                <w:rFonts w:hint="eastAsia"/>
                <w:sz w:val="24"/>
                <w:szCs w:val="24"/>
                <w:lang w:eastAsia="zh-CN"/>
              </w:rPr>
              <w:t>【</w:t>
            </w:r>
            <w:r>
              <w:rPr>
                <w:rFonts w:hint="eastAsia"/>
                <w:sz w:val="24"/>
                <w:szCs w:val="24"/>
                <w:lang w:val="en-US" w:eastAsia="zh-CN"/>
              </w:rPr>
              <w:t>远程</w:t>
            </w:r>
            <w:r>
              <w:rPr>
                <w:rFonts w:hint="eastAsia"/>
                <w:sz w:val="24"/>
                <w:szCs w:val="24"/>
                <w:lang w:eastAsia="zh-CN"/>
              </w:rPr>
              <w:t>】</w:t>
            </w:r>
            <w:r>
              <w:rPr>
                <w:rFonts w:hint="eastAsia"/>
                <w:sz w:val="24"/>
                <w:szCs w:val="24"/>
              </w:rPr>
              <w:t xml:space="preserve">   </w:t>
            </w:r>
            <w:r>
              <w:rPr>
                <w:sz w:val="24"/>
                <w:szCs w:val="24"/>
              </w:rPr>
              <w:t xml:space="preserve">            </w:t>
            </w:r>
            <w:r>
              <w:rPr>
                <w:rFonts w:hint="eastAsia"/>
                <w:sz w:val="24"/>
                <w:szCs w:val="24"/>
              </w:rPr>
              <w:t>审核日期：</w:t>
            </w:r>
            <w:r>
              <w:rPr>
                <w:sz w:val="24"/>
                <w:szCs w:val="24"/>
              </w:rPr>
              <w:t xml:space="preserve"> 202</w:t>
            </w:r>
            <w:r>
              <w:rPr>
                <w:rFonts w:hint="eastAsia"/>
                <w:sz w:val="24"/>
                <w:szCs w:val="24"/>
                <w:lang w:val="en-US" w:eastAsia="zh-CN"/>
              </w:rPr>
              <w:t>2-05-10</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3" w:type="dxa"/>
            <w:gridSpan w:val="2"/>
            <w:vMerge w:val="continue"/>
            <w:vAlign w:val="center"/>
          </w:tcPr>
          <w:p/>
        </w:tc>
        <w:tc>
          <w:tcPr>
            <w:tcW w:w="960" w:type="dxa"/>
            <w:gridSpan w:val="2"/>
            <w:vMerge w:val="continue"/>
            <w:vAlign w:val="center"/>
          </w:tcPr>
          <w:p/>
        </w:tc>
        <w:tc>
          <w:tcPr>
            <w:tcW w:w="10000" w:type="dxa"/>
            <w:gridSpan w:val="2"/>
            <w:vAlign w:val="center"/>
          </w:tcPr>
          <w:p>
            <w:pPr>
              <w:tabs>
                <w:tab w:val="left" w:pos="709"/>
              </w:tabs>
              <w:ind w:right="57"/>
              <w:jc w:val="left"/>
            </w:pPr>
            <w:r>
              <w:rPr>
                <w:rFonts w:hint="eastAsia"/>
              </w:rPr>
              <w:t>审核条款：FSMS：4.1/4.2/4.3/4.4/5.1/5.2/5.3/6.1/6.2/6.3/7.1.1/</w:t>
            </w:r>
            <w:r>
              <w:t>7.4</w:t>
            </w:r>
            <w:r>
              <w:rPr>
                <w:rFonts w:hint="eastAsia"/>
              </w:rPr>
              <w:t>/9.1.1</w:t>
            </w:r>
            <w:r>
              <w:t>/</w:t>
            </w:r>
            <w:r>
              <w:rPr>
                <w:rFonts w:hint="eastAsia"/>
                <w:sz w:val="21"/>
                <w:szCs w:val="21"/>
                <w:lang w:val="en-US" w:eastAsia="zh-CN"/>
              </w:rPr>
              <w:t>9.2/</w:t>
            </w:r>
            <w:r>
              <w:rPr>
                <w:rFonts w:hint="eastAsia"/>
              </w:rPr>
              <w:t>9.3/</w:t>
            </w:r>
            <w:r>
              <w:rPr>
                <w:rFonts w:hint="eastAsia"/>
                <w:sz w:val="21"/>
                <w:szCs w:val="21"/>
                <w:lang w:val="en-US" w:eastAsia="zh-CN"/>
              </w:rPr>
              <w:t>10.1</w:t>
            </w:r>
            <w:r>
              <w:rPr>
                <w:sz w:val="21"/>
                <w:szCs w:val="21"/>
              </w:rPr>
              <w:t>/</w:t>
            </w:r>
            <w:r>
              <w:rPr>
                <w:rFonts w:hint="eastAsia"/>
              </w:rPr>
              <w:t>10.2/10.3</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理解组织及其环境</w:t>
            </w:r>
          </w:p>
        </w:tc>
        <w:tc>
          <w:tcPr>
            <w:tcW w:w="960" w:type="dxa"/>
            <w:gridSpan w:val="2"/>
            <w:vMerge w:val="restart"/>
          </w:tcPr>
          <w:p>
            <w:r>
              <w:rPr>
                <w:rFonts w:hint="eastAsia"/>
              </w:rPr>
              <w:t>F4.1</w:t>
            </w:r>
          </w:p>
        </w:tc>
        <w:tc>
          <w:tcPr>
            <w:tcW w:w="745" w:type="dxa"/>
          </w:tcPr>
          <w:p>
            <w:r>
              <w:rPr>
                <w:rFonts w:hint="eastAsia"/>
              </w:rPr>
              <w:t>文件名称</w:t>
            </w:r>
          </w:p>
        </w:tc>
        <w:tc>
          <w:tcPr>
            <w:tcW w:w="9255" w:type="dxa"/>
          </w:tcPr>
          <w:p>
            <w:r>
              <w:rPr>
                <w:rFonts w:hint="eastAsia"/>
              </w:rPr>
              <w:t>如：</w:t>
            </w:r>
            <w:r>
              <w:rPr/>
              <w:sym w:font="Wingdings" w:char="00FE"/>
            </w:r>
            <w:r>
              <w:rPr>
                <w:rFonts w:hint="eastAsia"/>
              </w:rPr>
              <w:t>管理手册第4.1条款、</w:t>
            </w:r>
            <w:r>
              <w:rPr/>
              <w:sym w:font="Wingdings" w:char="00FE"/>
            </w:r>
            <w:r>
              <w:rPr>
                <w:rFonts w:hint="eastAsia"/>
                <w:lang w:eastAsia="zh-CN"/>
              </w:rPr>
              <w:t>《</w:t>
            </w:r>
            <w:bookmarkStart w:id="1" w:name="_GoBack"/>
            <w:r>
              <w:rPr>
                <w:rFonts w:hint="eastAsia"/>
              </w:rPr>
              <w:t>组织内外部环境要素识别表</w:t>
            </w:r>
            <w:bookmarkEnd w:id="1"/>
            <w:r>
              <w:rPr>
                <w:rFonts w:hint="eastAsia"/>
                <w:lang w:eastAsia="zh-CN"/>
              </w:rPr>
              <w:t>》</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rPr>
                    <w:t>外部环境</w:t>
                  </w:r>
                </w:p>
              </w:tc>
              <w:tc>
                <w:tcPr>
                  <w:tcW w:w="6683"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A3"/>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rPr>
                    <w:t>列举主要的内容</w:t>
                  </w:r>
                </w:p>
              </w:tc>
              <w:tc>
                <w:tcPr>
                  <w:tcW w:w="6683" w:type="dxa"/>
                </w:tcPr>
                <w:p>
                  <w:r>
                    <w:rPr>
                      <w:rFonts w:hint="eastAsia"/>
                      <w:lang w:val="en-US" w:eastAsia="zh-CN"/>
                    </w:rPr>
                    <w:t>客户较为稳定</w:t>
                  </w:r>
                  <w:r>
                    <w:rPr>
                      <w:rFonts w:hint="eastAsia"/>
                      <w:lang w:eastAsia="zh-CN"/>
                    </w:rPr>
                    <w:t>，</w:t>
                  </w:r>
                  <w:r>
                    <w:rPr>
                      <w:rFonts w:hint="eastAsia"/>
                      <w:lang w:val="en-US" w:eastAsia="zh-CN"/>
                    </w:rPr>
                    <w:t>主要为学校类</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rPr>
                    <w:t>内部环境</w:t>
                  </w:r>
                </w:p>
              </w:tc>
              <w:tc>
                <w:tcPr>
                  <w:tcW w:w="6683"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rPr>
                    <w:t>列举主要的内容</w:t>
                  </w:r>
                </w:p>
              </w:tc>
              <w:tc>
                <w:tcPr>
                  <w:tcW w:w="6683" w:type="dxa"/>
                </w:tcPr>
                <w:p>
                  <w:pPr>
                    <w:rPr>
                      <w:rFonts w:hint="eastAsia"/>
                      <w:lang w:eastAsia="zh-CN"/>
                    </w:rPr>
                  </w:pPr>
                  <w:r>
                    <w:rPr>
                      <w:rFonts w:hint="eastAsia"/>
                    </w:rPr>
                    <w:t>拥有良好的客户资源，幼儿园小学等，有良好的竞争力</w:t>
                  </w:r>
                  <w:r>
                    <w:rPr>
                      <w:rFonts w:hint="eastAsia"/>
                      <w:lang w:eastAsia="zh-CN"/>
                    </w:rPr>
                    <w:t>；</w:t>
                  </w:r>
                </w:p>
                <w:p>
                  <w:pPr>
                    <w:pStyle w:val="2"/>
                    <w:ind w:left="0" w:leftChars="0" w:firstLine="0" w:firstLineChars="0"/>
                    <w:rPr>
                      <w:rFonts w:hint="default"/>
                      <w:lang w:val="en-US" w:eastAsia="zh-CN"/>
                    </w:rPr>
                  </w:pPr>
                  <w:r>
                    <w:rPr>
                      <w:rFonts w:hint="eastAsia"/>
                      <w:lang w:val="en-US" w:eastAsia="zh-CN"/>
                    </w:rPr>
                    <w:t>团队凝聚力较强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color w:val="000000"/>
                      <w:szCs w:val="21"/>
                    </w:rPr>
                    <w:t>组织优势说明</w:t>
                  </w:r>
                </w:p>
              </w:tc>
              <w:tc>
                <w:tcPr>
                  <w:tcW w:w="6683" w:type="dxa"/>
                </w:tcPr>
                <w:p>
                  <w:r>
                    <w:rPr>
                      <w:rFonts w:hint="eastAsia"/>
                    </w:rPr>
                    <w:t>具有稳定的供应链</w:t>
                  </w:r>
                  <w:r>
                    <w:rPr>
                      <w:rFonts w:hint="eastAsia"/>
                      <w:lang w:eastAsia="zh-CN"/>
                    </w:rPr>
                    <w:t>、</w:t>
                  </w:r>
                  <w:r>
                    <w:rPr>
                      <w:rFonts w:hint="eastAsia"/>
                      <w:lang w:val="en-US" w:eastAsia="zh-CN"/>
                    </w:rPr>
                    <w:t>较为扎实的团队、基础资源配备齐全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color w:val="000000"/>
                      <w:szCs w:val="21"/>
                    </w:rPr>
                    <w:t>组织劣势说明</w:t>
                  </w:r>
                </w:p>
              </w:tc>
              <w:tc>
                <w:tcPr>
                  <w:tcW w:w="6683" w:type="dxa"/>
                </w:tcPr>
                <w:p>
                  <w:pPr>
                    <w:rPr>
                      <w:rFonts w:ascii="宋体" w:hAnsi="宋体"/>
                      <w:kern w:val="0"/>
                      <w:szCs w:val="21"/>
                    </w:rPr>
                  </w:pPr>
                  <w:r>
                    <w:rPr>
                      <w:rFonts w:hint="eastAsia" w:ascii="宋体" w:hAnsi="宋体"/>
                      <w:kern w:val="0"/>
                      <w:szCs w:val="21"/>
                      <w:lang w:val="en-US" w:eastAsia="zh-CN"/>
                    </w:rPr>
                    <w:t>整体人员</w:t>
                  </w:r>
                  <w:r>
                    <w:rPr>
                      <w:rFonts w:hint="eastAsia" w:ascii="宋体" w:hAnsi="宋体"/>
                      <w:kern w:val="0"/>
                      <w:szCs w:val="21"/>
                    </w:rPr>
                    <w:t>对食品安全等方面的知识</w:t>
                  </w:r>
                  <w:r>
                    <w:rPr>
                      <w:rFonts w:hint="eastAsia" w:ascii="宋体" w:hAnsi="宋体"/>
                      <w:kern w:val="0"/>
                      <w:szCs w:val="21"/>
                      <w:lang w:val="en-US" w:eastAsia="zh-CN"/>
                    </w:rPr>
                    <w:t>还需要加强</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color w:val="000000"/>
                      <w:szCs w:val="21"/>
                    </w:rPr>
                    <w:t>主要风险的说明</w:t>
                  </w:r>
                </w:p>
              </w:tc>
              <w:tc>
                <w:tcPr>
                  <w:tcW w:w="6683" w:type="dxa"/>
                </w:tcPr>
                <w:p>
                  <w:r>
                    <w:rPr>
                      <w:rFonts w:hint="eastAsia"/>
                    </w:rPr>
                    <w:t>外部环境（学校或相关方）运行异常/变化要求对本公司的威胁，</w:t>
                  </w:r>
                  <w:r>
                    <w:rPr>
                      <w:rFonts w:hint="eastAsia" w:ascii="宋体" w:hAnsi="宋体" w:cs="宋体"/>
                      <w:bCs/>
                      <w:szCs w:val="21"/>
                    </w:rPr>
                    <w:t>食材价格的上涨，受疫情影响</w:t>
                  </w:r>
                  <w:r>
                    <w:rPr>
                      <w:rFonts w:hint="eastAsia" w:ascii="宋体" w:hAnsi="宋体" w:cs="宋体"/>
                      <w:bCs/>
                      <w:szCs w:val="21"/>
                      <w:lang w:val="en-US" w:eastAsia="zh-CN"/>
                    </w:rPr>
                    <w:t>经营影响</w:t>
                  </w:r>
                  <w:r>
                    <w:rPr>
                      <w:rFonts w:hint="eastAsia" w:ascii="宋体" w:hAnsi="宋体" w:cs="宋体"/>
                      <w:bCs/>
                      <w:szCs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color w:val="000000"/>
                      <w:szCs w:val="21"/>
                    </w:rPr>
                    <w:t>机遇的说明</w:t>
                  </w:r>
                </w:p>
              </w:tc>
              <w:tc>
                <w:tcPr>
                  <w:tcW w:w="6683" w:type="dxa"/>
                </w:tcPr>
                <w:p>
                  <w:r>
                    <w:rPr>
                      <w:rFonts w:hint="eastAsia"/>
                      <w:lang w:val="en-US" w:eastAsia="zh-CN"/>
                    </w:rPr>
                    <w:t>良好的客户反馈，口碑较好，关注招投标，赢得新客户</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理解相关方的需求和期望</w:t>
            </w:r>
          </w:p>
        </w:tc>
        <w:tc>
          <w:tcPr>
            <w:tcW w:w="960" w:type="dxa"/>
            <w:gridSpan w:val="2"/>
            <w:vMerge w:val="restart"/>
          </w:tcPr>
          <w:p>
            <w:r>
              <w:rPr>
                <w:rFonts w:hint="eastAsia"/>
              </w:rPr>
              <w:t>F4.2</w:t>
            </w:r>
          </w:p>
        </w:tc>
        <w:tc>
          <w:tcPr>
            <w:tcW w:w="745" w:type="dxa"/>
          </w:tcPr>
          <w:p>
            <w:r>
              <w:rPr>
                <w:rFonts w:hint="eastAsia"/>
              </w:rPr>
              <w:t>文件名称</w:t>
            </w:r>
          </w:p>
        </w:tc>
        <w:tc>
          <w:tcPr>
            <w:tcW w:w="925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《相关方需求和期望控制程序》、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管理手册第4.2条款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主管部门</w:t>
                  </w:r>
                </w:p>
              </w:tc>
              <w:tc>
                <w:tcPr>
                  <w:tcW w:w="2701" w:type="dxa"/>
                </w:tcPr>
                <w:p>
                  <w:r>
                    <w:rPr>
                      <w:rFonts w:hint="eastAsia"/>
                    </w:rPr>
                    <w:t>杭州市建德市市场监督管理局</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rPr>
                      <w:rFonts w:hint="default" w:eastAsia="宋体"/>
                      <w:highlight w:val="none"/>
                      <w:lang w:val="en-US" w:eastAsia="zh-CN"/>
                    </w:rPr>
                  </w:pPr>
                  <w:r>
                    <w:rPr>
                      <w:rFonts w:hint="eastAsia"/>
                      <w:highlight w:val="none"/>
                    </w:rPr>
                    <w:t>杭州农副产品物流中心冷冻食品交易市场鲁华食品经营部</w:t>
                  </w:r>
                  <w:r>
                    <w:rPr>
                      <w:rFonts w:hint="eastAsia"/>
                      <w:highlight w:val="none"/>
                      <w:lang w:eastAsia="zh-CN"/>
                    </w:rPr>
                    <w:t>、杭州建德康源农业有限公司</w:t>
                  </w:r>
                  <w:r>
                    <w:rPr>
                      <w:rFonts w:hint="eastAsia"/>
                      <w:highlight w:val="none"/>
                      <w:lang w:val="en-US" w:eastAsia="zh-CN"/>
                    </w:rPr>
                    <w:t>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701" w:type="dxa"/>
                </w:tcPr>
                <w:p>
                  <w:pPr>
                    <w:rPr>
                      <w:rFonts w:hint="default" w:eastAsia="宋体"/>
                      <w:highlight w:val="none"/>
                      <w:lang w:val="en-US" w:eastAsia="zh-CN"/>
                    </w:rPr>
                  </w:pPr>
                  <w:r>
                    <w:rPr>
                      <w:rFonts w:hint="eastAsia"/>
                      <w:highlight w:val="none"/>
                    </w:rPr>
                    <w:t>大同初中</w:t>
                  </w:r>
                  <w:r>
                    <w:rPr>
                      <w:rFonts w:hint="eastAsia"/>
                      <w:highlight w:val="none"/>
                      <w:lang w:eastAsia="zh-CN"/>
                    </w:rPr>
                    <w:t>、航头中学</w:t>
                  </w:r>
                  <w:r>
                    <w:rPr>
                      <w:rFonts w:hint="eastAsia"/>
                      <w:highlight w:val="none"/>
                      <w:lang w:val="en-US" w:eastAsia="zh-CN"/>
                    </w:rPr>
                    <w:t>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701" w:type="dxa"/>
                </w:tcPr>
                <w:p>
                  <w:r>
                    <w:rPr>
                      <w:rFonts w:hint="eastAsia" w:ascii="宋体" w:hAnsi="宋体" w:cs="宋体"/>
                      <w:szCs w:val="21"/>
                    </w:rPr>
                    <w:t>学生、老师</w:t>
                  </w:r>
                </w:p>
              </w:tc>
              <w:tc>
                <w:tcPr>
                  <w:tcW w:w="4729" w:type="dxa"/>
                </w:tcPr>
                <w:p>
                  <w:r>
                    <w:rPr>
                      <w:rFonts w:hint="eastAsia"/>
                    </w:rPr>
                    <w:t>☑良好的使用感受</w:t>
                  </w:r>
                </w:p>
                <w:p>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投资方</w:t>
                  </w:r>
                </w:p>
              </w:tc>
              <w:tc>
                <w:tcPr>
                  <w:tcW w:w="2701" w:type="dxa"/>
                </w:tcPr>
                <w:p>
                  <w:r>
                    <w:rPr>
                      <w:rFonts w:hint="eastAsia"/>
                    </w:rPr>
                    <w:t>自然人</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组织的持续经营、盈利</w:t>
                  </w:r>
                </w:p>
                <w:p>
                  <w:r>
                    <w:rPr>
                      <w:rFonts w:hint="eastAsia"/>
                    </w:rPr>
                    <w:sym w:font="Wingdings 2" w:char="0052"/>
                  </w:r>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社区</w:t>
                  </w:r>
                </w:p>
              </w:tc>
              <w:tc>
                <w:tcPr>
                  <w:tcW w:w="2701" w:type="dxa"/>
                </w:tcPr>
                <w:p>
                  <w:r>
                    <w:rPr>
                      <w:rFonts w:hint="eastAsia"/>
                    </w:rPr>
                    <w:t>——</w:t>
                  </w:r>
                </w:p>
              </w:tc>
              <w:tc>
                <w:tcPr>
                  <w:tcW w:w="4729" w:type="dxa"/>
                </w:tcPr>
                <w:p>
                  <w:r>
                    <w:rPr>
                      <w:rFonts w:hint="eastAsia"/>
                    </w:rPr>
                    <w:sym w:font="Wingdings 2" w:char="00A3"/>
                  </w:r>
                  <w:r>
                    <w:rPr>
                      <w:rFonts w:hint="eastAsia"/>
                    </w:rPr>
                    <w:t>不因食品安全问题影响周围人员的就业</w:t>
                  </w:r>
                </w:p>
                <w:p>
                  <w:r>
                    <w:rPr>
                      <w:rFonts w:hint="eastAsia"/>
                    </w:rPr>
                    <w:sym w:font="Wingdings 2" w:char="00A3"/>
                  </w:r>
                  <w:r>
                    <w:rPr>
                      <w:rFonts w:hint="eastAsia"/>
                    </w:rPr>
                    <w:t>不因为油烟影响到周围社区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color w:val="000000"/>
                <w:szCs w:val="21"/>
              </w:rPr>
            </w:pPr>
            <w:r>
              <w:rPr>
                <w:rFonts w:hint="eastAsia"/>
                <w:color w:val="000000"/>
                <w:szCs w:val="21"/>
              </w:rPr>
              <w:t>主要证据体现在</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确定食品安全管理体系的范围</w:t>
            </w:r>
          </w:p>
        </w:tc>
        <w:tc>
          <w:tcPr>
            <w:tcW w:w="960" w:type="dxa"/>
            <w:gridSpan w:val="2"/>
            <w:vMerge w:val="restart"/>
          </w:tcPr>
          <w:p>
            <w:r>
              <w:rPr>
                <w:rFonts w:hint="eastAsia"/>
              </w:rPr>
              <w:t>F4.3</w:t>
            </w:r>
          </w:p>
        </w:tc>
        <w:tc>
          <w:tcPr>
            <w:tcW w:w="745" w:type="dxa"/>
          </w:tcPr>
          <w:p>
            <w:r>
              <w:rPr>
                <w:rFonts w:hint="eastAsia"/>
              </w:rPr>
              <w:t>文件名称</w:t>
            </w:r>
          </w:p>
        </w:tc>
        <w:tc>
          <w:tcPr>
            <w:tcW w:w="9255" w:type="dxa"/>
          </w:tcPr>
          <w:p>
            <w:r>
              <w:rPr>
                <w:rFonts w:hint="eastAsia"/>
              </w:rPr>
              <w:t>如：管理手册第4.3条款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Cs w:val="21"/>
                    </w:rPr>
                    <w:t>预包装食品（含冷藏冷冻食品）</w:t>
                  </w:r>
                  <w:r>
                    <w:rPr>
                      <w:rFonts w:hint="eastAsia"/>
                      <w:szCs w:val="21"/>
                    </w:rPr>
                    <w:t>、散装食品（含冷藏食品）</w:t>
                  </w:r>
                  <w:r>
                    <w:rPr>
                      <w:szCs w:val="21"/>
                    </w:rPr>
                    <w:t>销售</w:t>
                  </w:r>
                  <w:r>
                    <w:rPr>
                      <w:rFonts w:hint="eastAsia"/>
                      <w:szCs w:val="21"/>
                    </w:rPr>
                    <w:t>（运</w:t>
                  </w:r>
                  <w:r>
                    <w:rPr>
                      <w:szCs w:val="21"/>
                    </w:rPr>
                    <w:t>输</w:t>
                  </w:r>
                  <w:r>
                    <w:rPr>
                      <w:rFonts w:hint="eastAsia"/>
                      <w:szCs w:val="21"/>
                      <w:lang w:val="en-US" w:eastAsia="zh-CN"/>
                    </w:rPr>
                    <w:t>和</w:t>
                  </w:r>
                  <w:r>
                    <w:rPr>
                      <w:rFonts w:hint="eastAsia"/>
                      <w:szCs w:val="21"/>
                    </w:rPr>
                    <w:t>贮</w:t>
                  </w:r>
                  <w:r>
                    <w:rPr>
                      <w:szCs w:val="21"/>
                    </w:rPr>
                    <w:t>藏）</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autoSpaceDE w:val="0"/>
                    <w:autoSpaceDN w:val="0"/>
                    <w:adjustRightInd w:val="0"/>
                    <w:jc w:val="left"/>
                  </w:pPr>
                  <w:bookmarkStart w:id="0" w:name="审核范围"/>
                  <w:r>
                    <w:rPr>
                      <w:sz w:val="21"/>
                      <w:szCs w:val="21"/>
                    </w:rPr>
                    <w:t>位于浙江省杭州市建德市航头镇吴潭工业区杭州建航新能源开发有限公司2号厂房底层建德市方军农产品配送有限公司</w:t>
                  </w:r>
                  <w:r>
                    <w:rPr>
                      <w:rFonts w:hint="eastAsia"/>
                      <w:sz w:val="21"/>
                      <w:szCs w:val="21"/>
                      <w:lang w:val="en-US" w:eastAsia="zh-CN"/>
                    </w:rPr>
                    <w:t>的</w:t>
                  </w:r>
                  <w:r>
                    <w:rPr>
                      <w:sz w:val="21"/>
                      <w:szCs w:val="21"/>
                    </w:rPr>
                    <w:t>预包装食品（含冷藏冷冻食品）、散装食品（含冷藏食品）销售</w:t>
                  </w:r>
                  <w:bookmarkEnd w:id="0"/>
                  <w:r>
                    <w:rPr>
                      <w:rFonts w:hint="eastAsia"/>
                      <w:sz w:val="21"/>
                      <w:szCs w:val="21"/>
                      <w:lang w:eastAsia="zh-CN"/>
                    </w:rPr>
                    <w:t>（</w:t>
                  </w:r>
                  <w:r>
                    <w:rPr>
                      <w:rFonts w:hint="eastAsia"/>
                      <w:sz w:val="21"/>
                      <w:szCs w:val="21"/>
                      <w:lang w:val="en-US" w:eastAsia="zh-CN"/>
                    </w:rPr>
                    <w:t>运输和贮藏</w:t>
                  </w:r>
                  <w:r>
                    <w:rPr>
                      <w:rFonts w:hint="eastAsia"/>
                      <w:sz w:val="21"/>
                      <w:szCs w:val="21"/>
                      <w:lang w:eastAsia="zh-CN"/>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5446" w:type="dxa"/>
                </w:tcPr>
                <w:p>
                  <w:pPr>
                    <w:autoSpaceDE w:val="0"/>
                    <w:autoSpaceDN w:val="0"/>
                    <w:adjustRightInd w:val="0"/>
                    <w:jc w:val="left"/>
                    <w:rPr>
                      <w:szCs w:val="21"/>
                    </w:rPr>
                  </w:pPr>
                  <w:r>
                    <w:rPr>
                      <w:rFonts w:hint="eastAsia" w:ascii="华文宋体" w:hAnsi="华文宋体" w:eastAsia="华文宋体"/>
                      <w:szCs w:val="21"/>
                    </w:rPr>
                    <w:t>浙江省杭州市建德市航头镇吴潭工业区杭州建航新能源开发有限公司2号厂房底层</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tcPr>
                <w:p>
                  <w:r>
                    <w:rPr>
                      <w:rFonts w:hint="eastAsia" w:ascii="华文宋体" w:hAnsi="华文宋体" w:eastAsia="华文宋体"/>
                      <w:szCs w:val="21"/>
                    </w:rPr>
                    <w:t>浙江省杭州市建德市航头镇吴潭工业区杭州建航新能源开发有限公司2号厂房底层</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体系建立以来，2</w:t>
                  </w:r>
                  <w:r>
                    <w:t>020</w:t>
                  </w:r>
                  <w:r>
                    <w:rPr>
                      <w:rFonts w:hint="eastAsia"/>
                    </w:rPr>
                    <w:t>.</w:t>
                  </w:r>
                  <w:r>
                    <w:t>11</w:t>
                  </w:r>
                  <w:r>
                    <w:rPr>
                      <w:rFonts w:hint="eastAsia"/>
                    </w:rPr>
                    <w:t>.</w:t>
                  </w:r>
                  <w:r>
                    <w:t>15</w:t>
                  </w:r>
                </w:p>
                <w:p>
                  <w:pPr>
                    <w:rPr>
                      <w:rFonts w:hint="default" w:eastAsia="宋体"/>
                      <w:lang w:val="en-US" w:eastAsia="zh-CN"/>
                    </w:rPr>
                  </w:pPr>
                  <w:r>
                    <w:rPr>
                      <w:rFonts w:hint="eastAsia"/>
                    </w:rPr>
                    <w:sym w:font="Wingdings" w:char="00FE"/>
                  </w:r>
                  <w:r>
                    <w:rPr>
                      <w:rFonts w:hint="eastAsia"/>
                      <w:lang w:val="en-US" w:eastAsia="zh-CN"/>
                    </w:rPr>
                    <w:t xml:space="preserve"> 审核周期内未发生变化</w:t>
                  </w:r>
                </w:p>
              </w:tc>
              <w:tc>
                <w:tcPr>
                  <w:tcW w:w="1686" w:type="dxa"/>
                </w:tcPr>
                <w:p/>
              </w:tc>
            </w:tr>
          </w:tbl>
          <w:p/>
          <w:p>
            <w:pPr>
              <w:rPr>
                <w:color w:val="000000"/>
                <w:szCs w:val="21"/>
              </w:rPr>
            </w:pPr>
            <w:r>
              <w:rPr>
                <w:rFonts w:hint="eastAsia"/>
                <w:color w:val="000000"/>
                <w:szCs w:val="21"/>
              </w:rPr>
              <w:t>在企业的管理手册中有描述。</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pPr>
              <w:jc w:val="left"/>
            </w:pPr>
            <w:r>
              <w:rPr>
                <w:rFonts w:hint="eastAsia"/>
              </w:rPr>
              <w:t>食品安全管理体系及其过程</w:t>
            </w:r>
          </w:p>
        </w:tc>
        <w:tc>
          <w:tcPr>
            <w:tcW w:w="960" w:type="dxa"/>
            <w:gridSpan w:val="2"/>
            <w:vMerge w:val="restart"/>
          </w:tcPr>
          <w:p>
            <w:r>
              <w:rPr>
                <w:rFonts w:hint="eastAsia"/>
              </w:rPr>
              <w:t xml:space="preserve"> F4.4 </w:t>
            </w:r>
          </w:p>
        </w:tc>
        <w:tc>
          <w:tcPr>
            <w:tcW w:w="745" w:type="dxa"/>
          </w:tcPr>
          <w:p>
            <w:r>
              <w:rPr>
                <w:rFonts w:hint="eastAsia"/>
              </w:rPr>
              <w:t>文件名称</w:t>
            </w:r>
          </w:p>
        </w:tc>
        <w:tc>
          <w:tcPr>
            <w:tcW w:w="925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管理手册第4.4条款、</w:t>
            </w:r>
            <w:r>
              <w:rPr/>
              <w:sym w:font="Wingdings" w:char="00A8"/>
            </w:r>
            <w:r>
              <w:rPr>
                <w:rFonts w:hint="eastAsia"/>
              </w:rPr>
              <w:t>《过程清单》</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jc w:val="left"/>
            </w:pP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52"/>
            </w:r>
            <w:r>
              <w:rPr>
                <w:rFonts w:hint="eastAsia"/>
              </w:rPr>
              <w:t>其他（车辆管理）</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pPr>
            <w:r>
              <w:rPr>
                <w:rFonts w:hint="eastAsia"/>
              </w:rPr>
              <w:t>□设备维修   □人员培训 □PRP和OPRP、HACCP验证  ☑其他—无外包</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管理体系覆盖的过程</w:t>
            </w:r>
            <w:r>
              <w:rPr>
                <w:rFonts w:hint="eastAsia"/>
                <w:lang w:val="en-GB"/>
              </w:rPr>
              <w:t>和活动</w:t>
            </w:r>
            <w:r>
              <w:rPr>
                <w:rFonts w:hint="eastAsia"/>
              </w:rPr>
              <w:t>。</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领导作用与承诺</w:t>
            </w:r>
          </w:p>
        </w:tc>
        <w:tc>
          <w:tcPr>
            <w:tcW w:w="960" w:type="dxa"/>
            <w:gridSpan w:val="2"/>
            <w:vMerge w:val="restart"/>
          </w:tcPr>
          <w:p>
            <w:r>
              <w:rPr>
                <w:rFonts w:hint="eastAsia"/>
              </w:rPr>
              <w:t>F5.1</w:t>
            </w:r>
          </w:p>
        </w:tc>
        <w:tc>
          <w:tcPr>
            <w:tcW w:w="745" w:type="dxa"/>
          </w:tcPr>
          <w:p>
            <w:r>
              <w:rPr>
                <w:rFonts w:hint="eastAsia"/>
              </w:rPr>
              <w:t>文件名称</w:t>
            </w:r>
          </w:p>
        </w:tc>
        <w:tc>
          <w:tcPr>
            <w:tcW w:w="9255" w:type="dxa"/>
          </w:tcPr>
          <w:p>
            <w:r>
              <w:rPr>
                <w:rFonts w:hint="eastAsia"/>
              </w:rPr>
              <w:t>如：</w:t>
            </w:r>
            <w:r>
              <w:rPr/>
              <w:sym w:font="Wingdings" w:char="00FE"/>
            </w:r>
            <w:r>
              <w:rPr>
                <w:rFonts w:hint="eastAsia"/>
              </w:rPr>
              <w:t>管理手册第5.1条款  和“0.5各部门及岗位职责”</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食品安全方针</w:t>
            </w:r>
          </w:p>
        </w:tc>
        <w:tc>
          <w:tcPr>
            <w:tcW w:w="960" w:type="dxa"/>
            <w:gridSpan w:val="2"/>
            <w:vMerge w:val="restart"/>
          </w:tcPr>
          <w:p>
            <w:r>
              <w:rPr>
                <w:rFonts w:hint="eastAsia"/>
              </w:rPr>
              <w:t>F5.2</w:t>
            </w:r>
          </w:p>
        </w:tc>
        <w:tc>
          <w:tcPr>
            <w:tcW w:w="745" w:type="dxa"/>
          </w:tcPr>
          <w:p>
            <w:r>
              <w:rPr>
                <w:rFonts w:hint="eastAsia"/>
              </w:rPr>
              <w:t>文件名称</w:t>
            </w:r>
          </w:p>
        </w:tc>
        <w:tc>
          <w:tcPr>
            <w:tcW w:w="925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管理手册第5.2条款  和“0.2 食品安全方针、目标”</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rPr>
                <w:u w:val="single"/>
              </w:rPr>
            </w:pPr>
            <w:r>
              <w:rPr>
                <w:rFonts w:hint="eastAsia"/>
                <w:color w:val="000000"/>
                <w:szCs w:val="21"/>
              </w:rPr>
              <w:t xml:space="preserve"> </w:t>
            </w:r>
            <w:r>
              <w:rPr>
                <w:rFonts w:hint="eastAsia"/>
              </w:rPr>
              <w:t>最高管理者制定了文件化的管理体系方针：</w:t>
            </w:r>
          </w:p>
          <w:p>
            <w:pPr>
              <w:widowControl/>
              <w:spacing w:before="40"/>
              <w:jc w:val="left"/>
              <w:rPr>
                <w:b/>
                <w:bCs/>
                <w:u w:val="single"/>
              </w:rPr>
            </w:pPr>
            <w:r>
              <w:rPr>
                <w:rFonts w:hint="eastAsia"/>
                <w:b/>
                <w:bCs/>
                <w:color w:val="0000FF"/>
                <w:szCs w:val="18"/>
                <w:u w:val="single"/>
              </w:rPr>
              <w:t>绿色安全  快捷放心  精益求精</w:t>
            </w:r>
            <w:r>
              <w:rPr>
                <w:rFonts w:hint="eastAsia"/>
                <w:b/>
                <w:bCs/>
                <w:color w:val="0000FF"/>
                <w:szCs w:val="18"/>
                <w:u w:val="single"/>
                <w:lang w:val="en-US" w:eastAsia="zh-CN"/>
              </w:rPr>
              <w:t xml:space="preserve"> </w:t>
            </w:r>
            <w:r>
              <w:rPr>
                <w:rFonts w:hint="eastAsia"/>
                <w:b/>
                <w:bCs/>
                <w:u w:val="single"/>
              </w:rPr>
              <w:t xml:space="preserve"> </w:t>
            </w:r>
          </w:p>
          <w:p>
            <w:pPr>
              <w:widowControl/>
              <w:spacing w:before="40"/>
              <w:jc w:val="left"/>
              <w:rPr>
                <w:b/>
                <w:bCs/>
                <w:u w:val="single"/>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组织的岗位、职责和权限</w:t>
            </w:r>
          </w:p>
          <w:p/>
        </w:tc>
        <w:tc>
          <w:tcPr>
            <w:tcW w:w="960" w:type="dxa"/>
            <w:gridSpan w:val="2"/>
            <w:vMerge w:val="restart"/>
          </w:tcPr>
          <w:p>
            <w:r>
              <w:rPr>
                <w:rFonts w:hint="eastAsia"/>
              </w:rPr>
              <w:t>F5.3  </w:t>
            </w:r>
          </w:p>
        </w:tc>
        <w:tc>
          <w:tcPr>
            <w:tcW w:w="745" w:type="dxa"/>
          </w:tcPr>
          <w:p>
            <w:r>
              <w:rPr>
                <w:rFonts w:hint="eastAsia"/>
              </w:rPr>
              <w:t>文件名称</w:t>
            </w:r>
          </w:p>
        </w:tc>
        <w:tc>
          <w:tcPr>
            <w:tcW w:w="925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管理手册第5.3条款和“0.4食品安全管理体系职能分配表”</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配送部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eastAsia="zh-CN"/>
                    </w:rPr>
                  </w:pPr>
                  <w:r>
                    <w:rPr>
                      <w:rFonts w:hint="eastAsia"/>
                    </w:rPr>
                    <w:t>综合</w:t>
                  </w:r>
                  <w:r>
                    <w:rPr>
                      <w:rFonts w:hint="eastAsia"/>
                      <w:lang w:val="en-US" w:eastAsia="zh-CN"/>
                    </w:rPr>
                    <w:t>部</w:t>
                  </w:r>
                </w:p>
              </w:tc>
              <w:tc>
                <w:tcPr>
                  <w:tcW w:w="2261" w:type="dxa"/>
                </w:tcPr>
                <w:p>
                  <w:r>
                    <w:rPr>
                      <w:rFonts w:hint="eastAsia"/>
                    </w:rPr>
                    <w:t>监视和测量控制</w:t>
                  </w:r>
                </w:p>
              </w:tc>
              <w:tc>
                <w:tcPr>
                  <w:tcW w:w="2261" w:type="dxa"/>
                </w:tcPr>
                <w:p>
                  <w:r>
                    <w:rPr>
                      <w:rFonts w:hint="eastAsia"/>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2163" w:type="dxa"/>
            <w:gridSpan w:val="2"/>
          </w:tcPr>
          <w:p/>
        </w:tc>
        <w:tc>
          <w:tcPr>
            <w:tcW w:w="960" w:type="dxa"/>
            <w:gridSpan w:val="2"/>
          </w:tcPr>
          <w:p/>
        </w:tc>
        <w:tc>
          <w:tcPr>
            <w:tcW w:w="745" w:type="dxa"/>
          </w:tcPr>
          <w:p/>
        </w:tc>
        <w:tc>
          <w:tcPr>
            <w:tcW w:w="9255" w:type="dxa"/>
          </w:tcPr>
          <w:p>
            <w:pPr>
              <w:rPr>
                <w:rFonts w:hint="eastAsia" w:eastAsia="宋体"/>
                <w:lang w:val="en-US" w:eastAsia="zh-CN"/>
              </w:rPr>
            </w:pPr>
            <w:r>
              <w:rPr>
                <w:rFonts w:hint="eastAsia"/>
              </w:rPr>
              <w:sym w:font="Wingdings" w:char="00FE"/>
            </w:r>
            <w:r>
              <w:rPr>
                <w:rFonts w:hint="eastAsia"/>
              </w:rPr>
              <w:t>食品安全小组组长：</w:t>
            </w:r>
            <w:r>
              <w:rPr>
                <w:rFonts w:hint="eastAsia"/>
                <w:u w:val="single"/>
              </w:rPr>
              <w:t xml:space="preserve">  </w:t>
            </w:r>
            <w:r>
              <w:rPr>
                <w:rFonts w:hint="eastAsia" w:ascii="宋体" w:hAnsi="宋体"/>
                <w:szCs w:val="21"/>
                <w:u w:val="single"/>
              </w:rPr>
              <w:t>李梦</w:t>
            </w:r>
            <w:r>
              <w:rPr>
                <w:rFonts w:hint="eastAsia"/>
                <w:u w:val="single"/>
              </w:rPr>
              <w:t xml:space="preserve"> </w:t>
            </w:r>
            <w:r>
              <w:rPr>
                <w:rFonts w:hint="eastAsia"/>
                <w:u w:val="single"/>
                <w:lang w:val="en-US" w:eastAsia="zh-CN"/>
              </w:rPr>
              <w:t xml:space="preserve"> </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r>
              <w:rPr>
                <w:rFonts w:hint="eastAsia"/>
              </w:rPr>
              <w:t>。</w:t>
            </w:r>
          </w:p>
        </w:tc>
        <w:tc>
          <w:tcPr>
            <w:tcW w:w="15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pPr>
              <w:rPr>
                <w:color w:val="000000"/>
                <w:szCs w:val="21"/>
              </w:rPr>
            </w:pPr>
            <w:r>
              <w:rPr>
                <w:rFonts w:hint="eastAsia"/>
                <w:color w:val="000000"/>
                <w:szCs w:val="21"/>
              </w:rPr>
              <w:t>应对风险和机遇的措施</w:t>
            </w:r>
          </w:p>
          <w:p/>
        </w:tc>
        <w:tc>
          <w:tcPr>
            <w:tcW w:w="960" w:type="dxa"/>
            <w:gridSpan w:val="2"/>
            <w:vMerge w:val="restart"/>
          </w:tcPr>
          <w:p>
            <w:r>
              <w:rPr>
                <w:rFonts w:hint="eastAsia"/>
                <w:color w:val="000000"/>
                <w:szCs w:val="21"/>
              </w:rPr>
              <w:t>F6.1.1</w:t>
            </w:r>
          </w:p>
        </w:tc>
        <w:tc>
          <w:tcPr>
            <w:tcW w:w="745" w:type="dxa"/>
          </w:tcPr>
          <w:p>
            <w:r>
              <w:rPr>
                <w:rFonts w:hint="eastAsia"/>
              </w:rPr>
              <w:t>文件名称</w:t>
            </w:r>
          </w:p>
        </w:tc>
        <w:tc>
          <w:tcPr>
            <w:tcW w:w="9255" w:type="dxa"/>
          </w:tcPr>
          <w:p>
            <w:r>
              <w:rPr>
                <w:rFonts w:hint="eastAsia"/>
              </w:rPr>
              <w:t>如：</w:t>
            </w:r>
            <w:r>
              <w:rPr>
                <w:rFonts w:hint="eastAsia"/>
              </w:rPr>
              <w:sym w:font="Wingdings" w:char="00FE"/>
            </w:r>
            <w:r>
              <w:rPr>
                <w:rFonts w:hint="eastAsia"/>
              </w:rPr>
              <w:t>管理手册第6.1条款、</w:t>
            </w:r>
            <w:r>
              <w:rPr>
                <w:rFonts w:hint="eastAsia"/>
              </w:rPr>
              <w:sym w:font="Wingdings" w:char="00A8"/>
            </w:r>
            <w:r>
              <w:rPr>
                <w:rFonts w:hint="eastAsia"/>
              </w:rPr>
              <w:t>《</w:t>
            </w:r>
            <w:r>
              <w:rPr>
                <w:rFonts w:hint="eastAsia"/>
                <w:color w:val="000000"/>
                <w:szCs w:val="21"/>
              </w:rPr>
              <w:t>风险和机遇</w:t>
            </w:r>
            <w:r>
              <w:rPr>
                <w:rFonts w:hint="eastAsia"/>
              </w:rPr>
              <w:t>控制程序》</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2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主要的风险描述</w:t>
                  </w:r>
                </w:p>
              </w:tc>
              <w:tc>
                <w:tcPr>
                  <w:tcW w:w="4258"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spacing w:line="360" w:lineRule="exact"/>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运输配送环节控制不当，导致顾客投诉或不良反馈</w:t>
                  </w:r>
                </w:p>
              </w:tc>
              <w:tc>
                <w:tcPr>
                  <w:tcW w:w="4258" w:type="dxa"/>
                </w:tcPr>
                <w:p>
                  <w:pPr>
                    <w:numPr>
                      <w:ilvl w:val="0"/>
                      <w:numId w:val="1"/>
                    </w:numPr>
                    <w:rPr>
                      <w:rFonts w:hint="default"/>
                      <w:lang w:val="en-US" w:eastAsia="zh-CN"/>
                    </w:rPr>
                  </w:pPr>
                  <w:r>
                    <w:rPr>
                      <w:rFonts w:hint="eastAsia"/>
                      <w:lang w:val="en-US" w:eastAsia="zh-CN"/>
                    </w:rPr>
                    <w:t>加强人员的培训；</w:t>
                  </w:r>
                </w:p>
                <w:p>
                  <w:pPr>
                    <w:pStyle w:val="2"/>
                    <w:numPr>
                      <w:ilvl w:val="0"/>
                      <w:numId w:val="1"/>
                    </w:numPr>
                    <w:ind w:left="0" w:leftChars="0" w:firstLine="0" w:firstLineChars="0"/>
                    <w:rPr>
                      <w:rFonts w:hint="default"/>
                      <w:lang w:val="en-US" w:eastAsia="zh-CN"/>
                    </w:rPr>
                  </w:pPr>
                  <w:r>
                    <w:rPr>
                      <w:rFonts w:hint="eastAsia"/>
                      <w:lang w:val="en-US" w:eastAsia="zh-CN"/>
                    </w:rPr>
                    <w:t>合理规划配送路线；</w:t>
                  </w:r>
                </w:p>
                <w:p>
                  <w:pPr>
                    <w:pStyle w:val="2"/>
                    <w:numPr>
                      <w:ilvl w:val="0"/>
                      <w:numId w:val="1"/>
                    </w:numPr>
                    <w:ind w:left="0" w:leftChars="0" w:firstLine="0" w:firstLineChars="0"/>
                    <w:rPr>
                      <w:rFonts w:hint="default"/>
                      <w:lang w:val="en-US" w:eastAsia="zh-CN"/>
                    </w:rPr>
                  </w:pPr>
                  <w:r>
                    <w:rPr>
                      <w:rFonts w:hint="eastAsia"/>
                      <w:lang w:val="en-US" w:eastAsia="zh-CN"/>
                    </w:rPr>
                    <w:t>提前了解客户特殊要求</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新冠疫</w:t>
                  </w:r>
                  <w:r>
                    <w:rPr>
                      <w:rFonts w:asciiTheme="minorEastAsia" w:hAnsiTheme="minorEastAsia" w:eastAsiaTheme="minorEastAsia"/>
                      <w:szCs w:val="21"/>
                    </w:rPr>
                    <w:t>情</w:t>
                  </w:r>
                  <w:r>
                    <w:rPr>
                      <w:rFonts w:hint="eastAsia" w:asciiTheme="minorEastAsia" w:hAnsiTheme="minorEastAsia" w:eastAsiaTheme="minorEastAsia"/>
                      <w:szCs w:val="21"/>
                    </w:rPr>
                    <w:t>导</w:t>
                  </w:r>
                  <w:r>
                    <w:rPr>
                      <w:rFonts w:asciiTheme="minorEastAsia" w:hAnsiTheme="minorEastAsia" w:eastAsiaTheme="minorEastAsia"/>
                      <w:szCs w:val="21"/>
                    </w:rPr>
                    <w:t>致</w:t>
                  </w:r>
                  <w:r>
                    <w:rPr>
                      <w:rFonts w:hint="eastAsia" w:asciiTheme="minorEastAsia" w:hAnsiTheme="minorEastAsia" w:eastAsiaTheme="minorEastAsia"/>
                      <w:szCs w:val="21"/>
                    </w:rPr>
                    <w:t>客户要货需求</w:t>
                  </w:r>
                  <w:r>
                    <w:rPr>
                      <w:rFonts w:asciiTheme="minorEastAsia" w:hAnsiTheme="minorEastAsia" w:eastAsiaTheme="minorEastAsia"/>
                      <w:szCs w:val="21"/>
                    </w:rPr>
                    <w:t>不稳定</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部分食材较难采买</w:t>
                  </w:r>
                </w:p>
              </w:tc>
              <w:tc>
                <w:tcPr>
                  <w:tcW w:w="4258" w:type="dxa"/>
                </w:tcPr>
                <w:p>
                  <w:pPr>
                    <w:numPr>
                      <w:ilvl w:val="0"/>
                      <w:numId w:val="2"/>
                    </w:numPr>
                  </w:pPr>
                  <w:r>
                    <w:rPr>
                      <w:rFonts w:hint="eastAsia"/>
                    </w:rPr>
                    <w:t>切</w:t>
                  </w:r>
                  <w:r>
                    <w:t>实做好防疫措施</w:t>
                  </w:r>
                  <w:r>
                    <w:rPr>
                      <w:rFonts w:hint="eastAsia"/>
                    </w:rPr>
                    <w:t>完善售后服务体系，优质服务，提</w:t>
                  </w:r>
                  <w:r>
                    <w:t>高</w:t>
                  </w:r>
                  <w:r>
                    <w:rPr>
                      <w:rFonts w:hint="eastAsia"/>
                    </w:rPr>
                    <w:t>客户满</w:t>
                  </w:r>
                  <w:r>
                    <w:t>意度</w:t>
                  </w:r>
                  <w:r>
                    <w:rPr>
                      <w:rFonts w:hint="eastAsia"/>
                      <w:lang w:eastAsia="zh-CN"/>
                    </w:rPr>
                    <w:t>；</w:t>
                  </w:r>
                </w:p>
                <w:p>
                  <w:pPr>
                    <w:pStyle w:val="2"/>
                    <w:numPr>
                      <w:ilvl w:val="0"/>
                      <w:numId w:val="2"/>
                    </w:numPr>
                    <w:ind w:left="0" w:leftChars="0" w:firstLine="0" w:firstLineChars="0"/>
                    <w:rPr>
                      <w:rFonts w:hint="default"/>
                      <w:lang w:val="en-US"/>
                    </w:rPr>
                  </w:pPr>
                  <w:r>
                    <w:rPr>
                      <w:rFonts w:hint="eastAsia"/>
                      <w:lang w:val="en-US" w:eastAsia="zh-CN"/>
                    </w:rPr>
                    <w:t>易储存货物储备一定的库存量</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rPr>
                  </w:pPr>
                </w:p>
              </w:tc>
              <w:tc>
                <w:tcPr>
                  <w:tcW w:w="4258" w:type="dxa"/>
                </w:tcPr>
                <w:p>
                  <w:pPr>
                    <w:snapToGrid w:val="0"/>
                    <w:spacing w:line="360" w:lineRule="exact"/>
                    <w:jc w:val="left"/>
                    <w:rPr>
                      <w:rFonts w:ascii="宋体" w:hAnsi="宋体" w:cs="宋体"/>
                      <w:szCs w:val="21"/>
                    </w:rPr>
                  </w:pPr>
                </w:p>
              </w:tc>
              <w:tc>
                <w:tcPr>
                  <w:tcW w:w="1717" w:type="dxa"/>
                </w:tcP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FE"/>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91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34" w:type="dxa"/>
                </w:tcPr>
                <w:p>
                  <w:r>
                    <w:rPr>
                      <w:rFonts w:hint="eastAsia"/>
                    </w:rPr>
                    <w:t>主要的机遇描述</w:t>
                  </w:r>
                </w:p>
              </w:tc>
              <w:tc>
                <w:tcPr>
                  <w:tcW w:w="3913" w:type="dxa"/>
                </w:tcPr>
                <w:p>
                  <w:pPr>
                    <w:rPr>
                      <w:szCs w:val="24"/>
                    </w:rPr>
                  </w:pPr>
                  <w:r>
                    <w:rPr>
                      <w:rFonts w:hint="eastAsia"/>
                    </w:rPr>
                    <w:t>应对措施</w:t>
                  </w:r>
                </w:p>
              </w:tc>
              <w:tc>
                <w:tcPr>
                  <w:tcW w:w="1752"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34" w:type="dxa"/>
                </w:tcPr>
                <w:p>
                  <w:pPr>
                    <w:rPr>
                      <w:rFonts w:hint="default" w:eastAsia="宋体"/>
                      <w:lang w:val="en-US" w:eastAsia="zh-CN"/>
                    </w:rPr>
                  </w:pPr>
                  <w:r>
                    <w:rPr>
                      <w:rFonts w:hint="eastAsia"/>
                      <w:lang w:val="en-US" w:eastAsia="zh-CN"/>
                    </w:rPr>
                    <w:t>国家是食品安全的重视程度加大，对源头餐饮食材的管理加强</w:t>
                  </w:r>
                </w:p>
              </w:tc>
              <w:tc>
                <w:tcPr>
                  <w:tcW w:w="3913" w:type="dxa"/>
                </w:tcPr>
                <w:p>
                  <w:pPr>
                    <w:numPr>
                      <w:ilvl w:val="0"/>
                      <w:numId w:val="3"/>
                    </w:numPr>
                    <w:rPr>
                      <w:rFonts w:hint="eastAsia" w:ascii="宋体" w:hAnsi="宋体"/>
                      <w:szCs w:val="21"/>
                      <w:lang w:val="en-US" w:eastAsia="zh-CN"/>
                    </w:rPr>
                  </w:pPr>
                  <w:r>
                    <w:rPr>
                      <w:rFonts w:hint="eastAsia" w:ascii="宋体" w:hAnsi="宋体"/>
                      <w:szCs w:val="21"/>
                      <w:lang w:val="en-US" w:eastAsia="zh-CN"/>
                    </w:rPr>
                    <w:t>具备资源优势竞争食材源头的配送；</w:t>
                  </w:r>
                </w:p>
                <w:p>
                  <w:pPr>
                    <w:numPr>
                      <w:ilvl w:val="0"/>
                      <w:numId w:val="3"/>
                    </w:numPr>
                    <w:ind w:left="0" w:leftChars="0" w:firstLine="0" w:firstLineChars="0"/>
                  </w:pPr>
                  <w:r>
                    <w:rPr>
                      <w:rFonts w:hint="eastAsia" w:ascii="宋体" w:hAnsi="宋体"/>
                      <w:szCs w:val="21"/>
                      <w:lang w:val="en-US" w:eastAsia="zh-CN"/>
                    </w:rPr>
                    <w:t>良好的供应链；</w:t>
                  </w:r>
                </w:p>
                <w:p>
                  <w:pPr>
                    <w:numPr>
                      <w:ilvl w:val="0"/>
                      <w:numId w:val="3"/>
                    </w:numPr>
                    <w:ind w:left="0" w:leftChars="0" w:firstLine="0" w:firstLineChars="0"/>
                  </w:pPr>
                  <w:r>
                    <w:rPr>
                      <w:rFonts w:hint="eastAsia" w:ascii="宋体" w:hAnsi="宋体"/>
                      <w:szCs w:val="21"/>
                    </w:rPr>
                    <w:t>做好广告宣传，包括体系认证</w:t>
                  </w:r>
                </w:p>
              </w:tc>
              <w:tc>
                <w:tcPr>
                  <w:tcW w:w="1752" w:type="dxa"/>
                </w:tcPr>
                <w:p>
                  <w:pPr>
                    <w:rPr>
                      <w:highlight w:val="cyan"/>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34" w:type="dxa"/>
                </w:tcPr>
                <w:p>
                  <w:pPr>
                    <w:rPr>
                      <w:szCs w:val="24"/>
                    </w:rPr>
                  </w:pPr>
                  <w:r>
                    <w:rPr>
                      <w:rFonts w:hint="eastAsia"/>
                      <w:szCs w:val="24"/>
                    </w:rPr>
                    <w:t>国</w:t>
                  </w:r>
                  <w:r>
                    <w:rPr>
                      <w:szCs w:val="24"/>
                    </w:rPr>
                    <w:t>家对农业</w:t>
                  </w:r>
                  <w:r>
                    <w:rPr>
                      <w:rFonts w:hint="eastAsia"/>
                      <w:szCs w:val="24"/>
                    </w:rPr>
                    <w:t>重</w:t>
                  </w:r>
                  <w:r>
                    <w:rPr>
                      <w:szCs w:val="24"/>
                    </w:rPr>
                    <w:t>视</w:t>
                  </w:r>
                  <w:r>
                    <w:rPr>
                      <w:rFonts w:hint="eastAsia"/>
                      <w:szCs w:val="24"/>
                    </w:rPr>
                    <w:t>，</w:t>
                  </w:r>
                  <w:r>
                    <w:rPr>
                      <w:szCs w:val="24"/>
                    </w:rPr>
                    <w:t>成本降低</w:t>
                  </w:r>
                </w:p>
              </w:tc>
              <w:tc>
                <w:tcPr>
                  <w:tcW w:w="3913" w:type="dxa"/>
                </w:tcPr>
                <w:p>
                  <w:pPr>
                    <w:rPr>
                      <w:rFonts w:asciiTheme="minorEastAsia" w:hAnsiTheme="minorEastAsia" w:eastAsiaTheme="minorEastAsia"/>
                      <w:szCs w:val="21"/>
                    </w:rPr>
                  </w:pPr>
                  <w:r>
                    <w:rPr>
                      <w:rFonts w:hint="eastAsia" w:asciiTheme="minorEastAsia" w:hAnsiTheme="minorEastAsia" w:eastAsiaTheme="minorEastAsia"/>
                      <w:szCs w:val="21"/>
                    </w:rPr>
                    <w:t>积极拓展新市场,开发新客户</w:t>
                  </w:r>
                </w:p>
              </w:tc>
              <w:tc>
                <w:tcPr>
                  <w:tcW w:w="1752"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34" w:type="dxa"/>
                </w:tcPr>
                <w:p>
                  <w:pPr>
                    <w:rPr>
                      <w:szCs w:val="24"/>
                    </w:rPr>
                  </w:pPr>
                </w:p>
              </w:tc>
              <w:tc>
                <w:tcPr>
                  <w:tcW w:w="3913" w:type="dxa"/>
                </w:tcPr>
                <w:p/>
              </w:tc>
              <w:tc>
                <w:tcPr>
                  <w:tcW w:w="1752" w:type="dxa"/>
                </w:tcPr>
                <w:p/>
              </w:tc>
            </w:tr>
          </w:tbl>
          <w:p/>
          <w:p/>
          <w:p>
            <w:pPr>
              <w:rPr>
                <w:rFonts w:hint="eastAsia" w:eastAsia="宋体"/>
                <w:lang w:eastAsia="zh-CN"/>
              </w:rPr>
            </w:pPr>
            <w:r>
              <w:rPr>
                <w:rFonts w:hint="eastAsia"/>
              </w:rPr>
              <w:t>FSMS</w:t>
            </w:r>
            <w:r>
              <w:rPr>
                <w:rFonts w:hint="eastAsia"/>
                <w:lang w:eastAsia="zh-CN"/>
              </w:rPr>
              <w:t>：</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A8"/>
            </w:r>
            <w:r>
              <w:rPr>
                <w:rFonts w:hint="eastAsia"/>
                <w:u w:val="single"/>
              </w:rPr>
              <w:t xml:space="preserve">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63" w:type="dxa"/>
            <w:gridSpan w:val="2"/>
            <w:vMerge w:val="restart"/>
          </w:tcPr>
          <w:p/>
        </w:tc>
        <w:tc>
          <w:tcPr>
            <w:tcW w:w="960" w:type="dxa"/>
            <w:gridSpan w:val="2"/>
          </w:tcPr>
          <w:p>
            <w:r>
              <w:rPr>
                <w:rFonts w:hint="eastAsia"/>
                <w:color w:val="000000"/>
                <w:szCs w:val="21"/>
              </w:rPr>
              <w:t>F6.1.2</w:t>
            </w:r>
          </w:p>
        </w:tc>
        <w:tc>
          <w:tcPr>
            <w:tcW w:w="745" w:type="dxa"/>
          </w:tcPr>
          <w:p>
            <w:r>
              <w:rPr>
                <w:rFonts w:hint="eastAsia"/>
              </w:rPr>
              <w:t>运行证据</w:t>
            </w:r>
          </w:p>
        </w:tc>
        <w:tc>
          <w:tcPr>
            <w:tcW w:w="9255"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解决这些风险和机遇的行动;——企业提供了《应对机遇和风险措施清单》</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1"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3" w:type="dxa"/>
            <w:gridSpan w:val="2"/>
            <w:vMerge w:val="continue"/>
          </w:tcPr>
          <w:p>
            <w:pPr>
              <w:rPr>
                <w:highlight w:val="yellow"/>
              </w:rPr>
            </w:pPr>
          </w:p>
        </w:tc>
        <w:tc>
          <w:tcPr>
            <w:tcW w:w="960" w:type="dxa"/>
            <w:gridSpan w:val="2"/>
          </w:tcPr>
          <w:p>
            <w:r>
              <w:rPr>
                <w:rFonts w:hint="eastAsia"/>
                <w:color w:val="000000"/>
                <w:szCs w:val="21"/>
              </w:rPr>
              <w:t>F6.1.3</w:t>
            </w:r>
          </w:p>
        </w:tc>
        <w:tc>
          <w:tcPr>
            <w:tcW w:w="745" w:type="dxa"/>
          </w:tcPr>
          <w:p>
            <w:r>
              <w:rPr>
                <w:rFonts w:hint="eastAsia"/>
              </w:rPr>
              <w:t>运行证据</w:t>
            </w:r>
          </w:p>
        </w:tc>
        <w:tc>
          <w:tcPr>
            <w:tcW w:w="9255"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1"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pPr>
              <w:rPr>
                <w:color w:val="000000"/>
                <w:szCs w:val="21"/>
              </w:rPr>
            </w:pPr>
            <w:r>
              <w:rPr>
                <w:rFonts w:hint="eastAsia"/>
                <w:color w:val="000000"/>
                <w:szCs w:val="21"/>
              </w:rPr>
              <w:t>食品安全目标及其实现的策划</w:t>
            </w:r>
          </w:p>
          <w:p/>
        </w:tc>
        <w:tc>
          <w:tcPr>
            <w:tcW w:w="960" w:type="dxa"/>
            <w:gridSpan w:val="2"/>
            <w:vMerge w:val="restart"/>
          </w:tcPr>
          <w:p>
            <w:pPr>
              <w:rPr>
                <w:color w:val="000000"/>
                <w:szCs w:val="21"/>
              </w:rPr>
            </w:pPr>
            <w:r>
              <w:rPr>
                <w:rFonts w:hint="eastAsia"/>
                <w:color w:val="000000"/>
                <w:szCs w:val="21"/>
              </w:rPr>
              <w:t>F6.2</w:t>
            </w:r>
          </w:p>
        </w:tc>
        <w:tc>
          <w:tcPr>
            <w:tcW w:w="745" w:type="dxa"/>
          </w:tcPr>
          <w:p>
            <w:r>
              <w:rPr>
                <w:rFonts w:hint="eastAsia"/>
              </w:rPr>
              <w:t>文件名称</w:t>
            </w:r>
          </w:p>
        </w:tc>
        <w:tc>
          <w:tcPr>
            <w:tcW w:w="9255" w:type="dxa"/>
          </w:tcPr>
          <w:p>
            <w:r>
              <w:rPr>
                <w:rFonts w:hint="eastAsia"/>
              </w:rPr>
              <w:t>如：</w:t>
            </w:r>
            <w:r>
              <w:rPr/>
              <w:sym w:font="Wingdings" w:char="00FE"/>
            </w:r>
            <w:r>
              <w:rPr>
                <w:rFonts w:hint="eastAsia"/>
              </w:rPr>
              <w:t xml:space="preserve">手册第6.2条款、《目标管理程序》 </w:t>
            </w:r>
            <w:r>
              <w:rPr/>
              <w:sym w:font="Wingdings" w:char="00FE"/>
            </w:r>
            <w:r>
              <w:rPr>
                <w:rFonts w:hint="eastAsia"/>
              </w:rPr>
              <w:t>《</w:t>
            </w:r>
            <w:r>
              <w:rPr>
                <w:rFonts w:hint="eastAsia"/>
                <w:color w:val="000000"/>
                <w:szCs w:val="21"/>
              </w:rPr>
              <w:t>食品安全目标分解及考核统计表</w:t>
            </w:r>
            <w:r>
              <w:rPr>
                <w:rFonts w:hint="eastAsia"/>
              </w:rPr>
              <w:t>》</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rPr>
              <w:t>组织建立了与方针一致的文件化的管理目标。为实现总的</w:t>
            </w:r>
            <w:r>
              <w:rPr>
                <w:rFonts w:hint="eastAsia" w:ascii="宋体" w:hAnsi="宋体"/>
                <w:szCs w:val="21"/>
              </w:rPr>
              <w:t>食品安全</w:t>
            </w:r>
            <w:r>
              <w:rPr>
                <w:rFonts w:hint="eastAsia"/>
              </w:rPr>
              <w:t>目标而建立的各层级</w:t>
            </w:r>
            <w:r>
              <w:rPr>
                <w:rFonts w:hint="eastAsia" w:ascii="宋体" w:hAnsi="宋体"/>
                <w:szCs w:val="21"/>
              </w:rPr>
              <w:t>食品安全</w:t>
            </w:r>
            <w:r>
              <w:rPr>
                <w:rFonts w:hint="eastAsia"/>
              </w:rPr>
              <w:t>目标具体、有针对性、可测量并且可实现。</w:t>
            </w:r>
          </w:p>
          <w:p>
            <w:r>
              <w:rPr>
                <w:rFonts w:hint="eastAsia"/>
              </w:rPr>
              <w:t>总</w:t>
            </w:r>
            <w:r>
              <w:rPr>
                <w:rFonts w:hint="eastAsia" w:ascii="宋体" w:hAnsi="宋体"/>
                <w:szCs w:val="21"/>
              </w:rPr>
              <w:t>食品安全</w:t>
            </w:r>
            <w:r>
              <w:rPr>
                <w:rFonts w:hint="eastAsia"/>
              </w:rPr>
              <w:t>目标实现情况的评价，及其测量方法是：</w:t>
            </w:r>
          </w:p>
          <w:tbl>
            <w:tblPr>
              <w:tblStyle w:val="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281"/>
              <w:gridCol w:w="2389"/>
              <w:gridCol w:w="134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8"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食品安全目标</w:t>
                  </w:r>
                </w:p>
              </w:tc>
              <w:tc>
                <w:tcPr>
                  <w:tcW w:w="1281"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考核频率</w:t>
                  </w:r>
                </w:p>
              </w:tc>
              <w:tc>
                <w:tcPr>
                  <w:tcW w:w="2389"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计算方法</w:t>
                  </w:r>
                </w:p>
              </w:tc>
              <w:tc>
                <w:tcPr>
                  <w:tcW w:w="1345"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责任部门</w:t>
                  </w:r>
                </w:p>
              </w:tc>
              <w:tc>
                <w:tcPr>
                  <w:tcW w:w="2110"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目标实际完成（</w:t>
                  </w:r>
                  <w:r>
                    <w:rPr>
                      <w:rFonts w:hint="eastAsia"/>
                      <w:szCs w:val="22"/>
                      <w:lang w:val="en-US" w:eastAsia="zh-CN"/>
                    </w:rPr>
                    <w:t>2021.06-2022.03</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5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杜绝重大的卫生质量事故</w:t>
                  </w:r>
                </w:p>
              </w:tc>
              <w:tc>
                <w:tcPr>
                  <w:tcW w:w="1281" w:type="dxa"/>
                  <w:shd w:val="clear" w:color="auto" w:fill="auto"/>
                  <w:vAlign w:val="center"/>
                </w:tcPr>
                <w:p>
                  <w:pPr>
                    <w:keepNext w:val="0"/>
                    <w:keepLines w:val="0"/>
                    <w:suppressLineNumbers w:val="0"/>
                    <w:spacing w:before="0" w:beforeAutospacing="0" w:after="0" w:afterAutospacing="0"/>
                    <w:ind w:left="0" w:right="0"/>
                    <w:rPr>
                      <w:rFonts w:hint="eastAsia" w:eastAsia="宋体"/>
                      <w:szCs w:val="22"/>
                      <w:lang w:eastAsia="zh-CN"/>
                    </w:rPr>
                  </w:pPr>
                  <w:r>
                    <w:rPr>
                      <w:rFonts w:hint="eastAsia"/>
                      <w:szCs w:val="22"/>
                      <w:lang w:val="en-US" w:eastAsia="zh-CN"/>
                    </w:rPr>
                    <w:t>每半年</w:t>
                  </w:r>
                </w:p>
              </w:tc>
              <w:tc>
                <w:tcPr>
                  <w:tcW w:w="238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kern w:val="2"/>
                      <w:sz w:val="21"/>
                      <w:szCs w:val="21"/>
                      <w:lang w:val="en-GB" w:eastAsia="zh-CN" w:bidi="ar-SA"/>
                    </w:rPr>
                    <w:t>重大质量安全事故发生 0 次</w:t>
                  </w:r>
                </w:p>
              </w:tc>
              <w:tc>
                <w:tcPr>
                  <w:tcW w:w="1345" w:type="dxa"/>
                  <w:shd w:val="clear" w:color="auto" w:fill="auto"/>
                </w:tcPr>
                <w:p>
                  <w:pPr>
                    <w:keepNext w:val="0"/>
                    <w:keepLines w:val="0"/>
                    <w:suppressLineNumbers w:val="0"/>
                    <w:spacing w:before="156" w:beforeLines="50" w:beforeAutospacing="0" w:after="0" w:afterAutospacing="0"/>
                    <w:ind w:left="0" w:right="0"/>
                    <w:jc w:val="center"/>
                    <w:rPr>
                      <w:rFonts w:hint="default" w:eastAsia="宋体"/>
                      <w:szCs w:val="21"/>
                      <w:lang w:val="en-US" w:eastAsia="zh-CN"/>
                    </w:rPr>
                  </w:pPr>
                  <w:r>
                    <w:rPr>
                      <w:rFonts w:hint="eastAsia" w:eastAsia="宋体"/>
                      <w:szCs w:val="21"/>
                      <w:lang w:val="en-US" w:eastAsia="zh-CN"/>
                    </w:rPr>
                    <w:t>品控部</w:t>
                  </w:r>
                </w:p>
              </w:tc>
              <w:tc>
                <w:tcPr>
                  <w:tcW w:w="2110"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0"/>
                      <w:lang w:val="en-US" w:eastAsia="zh-CN" w:bidi="ar-SA"/>
                    </w:rPr>
                  </w:pPr>
                  <w:r>
                    <w:rPr>
                      <w:rFonts w:hint="default" w:ascii="Times New Roman" w:hAnsi="Times New Roman" w:eastAsia="宋体" w:cs="Times New Roman"/>
                      <w:b w:val="0"/>
                      <w:bCs/>
                      <w:kern w:val="2"/>
                      <w:sz w:val="21"/>
                      <w:szCs w:val="20"/>
                      <w:lang w:val="en-US" w:eastAsia="zh-CN" w:bidi="ar-SA"/>
                    </w:rPr>
                    <w:t>产品出厂一次检 验合格率≥ 99%</w:t>
                  </w:r>
                </w:p>
              </w:tc>
              <w:tc>
                <w:tcPr>
                  <w:tcW w:w="128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lang w:val="en-US" w:eastAsia="zh-CN"/>
                    </w:rPr>
                    <w:t>每半年</w:t>
                  </w:r>
                </w:p>
              </w:tc>
              <w:tc>
                <w:tcPr>
                  <w:tcW w:w="238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kern w:val="2"/>
                      <w:sz w:val="21"/>
                      <w:szCs w:val="20"/>
                      <w:lang w:val="en-GB" w:eastAsia="zh-CN" w:bidi="ar-SA"/>
                    </w:rPr>
                  </w:pPr>
                  <w:r>
                    <w:rPr>
                      <w:rFonts w:hint="eastAsia"/>
                      <w:bCs/>
                      <w:szCs w:val="20"/>
                    </w:rPr>
                    <w:t>错发、漏发的文件/所有应发放的文件</w:t>
                  </w:r>
                  <w:r>
                    <w:rPr>
                      <w:rFonts w:hint="eastAsia"/>
                      <w:szCs w:val="21"/>
                    </w:rPr>
                    <w:t>×100%</w:t>
                  </w:r>
                </w:p>
              </w:tc>
              <w:tc>
                <w:tcPr>
                  <w:tcW w:w="1345"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eastAsia="宋体"/>
                      <w:szCs w:val="21"/>
                      <w:lang w:val="en-US" w:eastAsia="zh-CN"/>
                    </w:rPr>
                    <w:t>品控部</w:t>
                  </w:r>
                </w:p>
              </w:tc>
              <w:tc>
                <w:tcPr>
                  <w:tcW w:w="2110"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85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p>
              </w:tc>
              <w:tc>
                <w:tcPr>
                  <w:tcW w:w="1281"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lang w:val="en-US" w:eastAsia="zh-CN" w:bidi="ar-SA"/>
                    </w:rPr>
                  </w:pPr>
                </w:p>
              </w:tc>
              <w:tc>
                <w:tcPr>
                  <w:tcW w:w="2389"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Cs/>
                      <w:kern w:val="2"/>
                      <w:sz w:val="21"/>
                      <w:szCs w:val="20"/>
                      <w:lang w:val="en-US" w:eastAsia="zh-CN" w:bidi="ar-SA"/>
                    </w:rPr>
                  </w:pPr>
                </w:p>
              </w:tc>
              <w:tc>
                <w:tcPr>
                  <w:tcW w:w="1345" w:type="dxa"/>
                  <w:shd w:val="clear" w:color="auto" w:fill="auto"/>
                </w:tcPr>
                <w:p>
                  <w:pPr>
                    <w:keepNext w:val="0"/>
                    <w:keepLines w:val="0"/>
                    <w:suppressLineNumbers w:val="0"/>
                    <w:spacing w:before="156" w:beforeLines="50" w:beforeAutospacing="0" w:after="0" w:afterAutospacing="0"/>
                    <w:ind w:left="0" w:right="0"/>
                    <w:jc w:val="center"/>
                    <w:rPr>
                      <w:rFonts w:hint="eastAsia"/>
                      <w:szCs w:val="21"/>
                    </w:rPr>
                  </w:pPr>
                </w:p>
              </w:tc>
              <w:tc>
                <w:tcPr>
                  <w:tcW w:w="2110" w:type="dxa"/>
                  <w:shd w:val="clear" w:color="auto" w:fill="auto"/>
                </w:tcPr>
                <w:p>
                  <w:pPr>
                    <w:keepNext w:val="0"/>
                    <w:keepLines w:val="0"/>
                    <w:suppressLineNumbers w:val="0"/>
                    <w:spacing w:before="156" w:beforeLines="50" w:beforeAutospacing="0" w:after="0" w:afterAutospacing="0"/>
                    <w:ind w:left="0" w:right="0"/>
                    <w:jc w:val="center"/>
                    <w:rPr>
                      <w:rFonts w:hint="default" w:eastAsia="宋体"/>
                      <w:szCs w:val="21"/>
                      <w:lang w:val="en-US" w:eastAsia="zh-CN"/>
                    </w:rPr>
                  </w:pPr>
                </w:p>
              </w:tc>
            </w:tr>
          </w:tbl>
          <w:p>
            <w:pPr>
              <w:pStyle w:val="2"/>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EBF1DE" w:themeFill="accent3" w:themeFillTint="32"/>
          </w:tcPr>
          <w:p>
            <w:pPr>
              <w:rPr>
                <w:color w:val="000000"/>
                <w:szCs w:val="21"/>
              </w:rPr>
            </w:pPr>
            <w:r>
              <w:rPr>
                <w:rFonts w:hint="eastAsia"/>
                <w:color w:val="000000"/>
                <w:szCs w:val="21"/>
              </w:rPr>
              <w:t>变更的策划</w:t>
            </w:r>
          </w:p>
          <w:p/>
        </w:tc>
        <w:tc>
          <w:tcPr>
            <w:tcW w:w="960" w:type="dxa"/>
            <w:gridSpan w:val="2"/>
            <w:vMerge w:val="restart"/>
            <w:shd w:val="clear" w:color="auto" w:fill="EBF1DE" w:themeFill="accent3" w:themeFillTint="32"/>
          </w:tcPr>
          <w:p>
            <w:r>
              <w:rPr>
                <w:rFonts w:hint="eastAsia"/>
                <w:color w:val="000000"/>
                <w:szCs w:val="21"/>
              </w:rPr>
              <w:t>F6.3</w:t>
            </w:r>
          </w:p>
        </w:tc>
        <w:tc>
          <w:tcPr>
            <w:tcW w:w="745" w:type="dxa"/>
            <w:shd w:val="clear" w:color="auto" w:fill="EBF1DE" w:themeFill="accent3" w:themeFillTint="32"/>
          </w:tcPr>
          <w:p>
            <w:r>
              <w:rPr>
                <w:rFonts w:hint="eastAsia"/>
              </w:rPr>
              <w:t>文件名称</w:t>
            </w:r>
          </w:p>
        </w:tc>
        <w:tc>
          <w:tcPr>
            <w:tcW w:w="9255"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91"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shd w:val="clear" w:color="auto" w:fill="EBF1DE" w:themeFill="accent3" w:themeFillTint="32"/>
          </w:tcPr>
          <w:p/>
        </w:tc>
        <w:tc>
          <w:tcPr>
            <w:tcW w:w="960" w:type="dxa"/>
            <w:gridSpan w:val="2"/>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5" w:type="dxa"/>
            <w:shd w:val="clear" w:color="auto" w:fill="EBF1DE" w:themeFill="accent3" w:themeFillTint="32"/>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w:t>
            </w:r>
            <w:r>
              <w:rPr>
                <w:rFonts w:hint="eastAsia"/>
              </w:rPr>
              <w:sym w:font="Wingdings 2" w:char="0052"/>
            </w:r>
            <w:r>
              <w:rPr>
                <w:rFonts w:hint="eastAsia"/>
              </w:rPr>
              <w:t>关键人员</w:t>
            </w:r>
            <w:r>
              <w:rPr>
                <w:rFonts w:hint="eastAsia"/>
                <w:lang w:eastAsia="zh-CN"/>
              </w:rPr>
              <w:t>——</w:t>
            </w:r>
            <w:r>
              <w:rPr>
                <w:rFonts w:hint="eastAsia"/>
                <w:lang w:val="en-US" w:eastAsia="zh-CN"/>
              </w:rPr>
              <w:t>配送部、综合部的负责人，变更后不影响体系运行；人员能力评价情况见F7.2条款</w:t>
            </w:r>
            <w:r>
              <w:rPr>
                <w:rFonts w:hint="eastAsia"/>
              </w:rPr>
              <w:t xml:space="preserve"> □生产工艺/服务流程 </w:t>
            </w:r>
          </w:p>
          <w:p>
            <w:pPr>
              <w:spacing w:before="40" w:after="40"/>
            </w:pPr>
            <w:r>
              <w:rPr>
                <w:rFonts w:hint="eastAsia"/>
              </w:rPr>
              <w:t xml:space="preserve">□主要设备设施 □主要检测设备 </w:t>
            </w:r>
            <w:r>
              <w:rPr/>
              <w:sym w:font="Wingdings" w:char="00A8"/>
            </w:r>
            <w:r>
              <w:rPr>
                <w:rFonts w:hint="eastAsia"/>
              </w:rPr>
              <w:t>其他</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91"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EBF1DE" w:themeFill="accent3" w:themeFillTint="32"/>
          </w:tcPr>
          <w:p>
            <w:r>
              <w:rPr>
                <w:rFonts w:hint="eastAsia"/>
              </w:rPr>
              <w:t>资源（总则）</w:t>
            </w:r>
          </w:p>
        </w:tc>
        <w:tc>
          <w:tcPr>
            <w:tcW w:w="960" w:type="dxa"/>
            <w:gridSpan w:val="2"/>
            <w:vMerge w:val="restart"/>
            <w:shd w:val="clear" w:color="auto" w:fill="EBF1DE" w:themeFill="accent3" w:themeFillTint="32"/>
          </w:tcPr>
          <w:p>
            <w:r>
              <w:rPr>
                <w:rFonts w:hint="eastAsia"/>
                <w:color w:val="000000"/>
                <w:szCs w:val="21"/>
              </w:rPr>
              <w:t>F7.1</w:t>
            </w:r>
          </w:p>
        </w:tc>
        <w:tc>
          <w:tcPr>
            <w:tcW w:w="745" w:type="dxa"/>
            <w:shd w:val="clear" w:color="auto" w:fill="EBF1DE" w:themeFill="accent3" w:themeFillTint="32"/>
          </w:tcPr>
          <w:p>
            <w:r>
              <w:rPr>
                <w:rFonts w:hint="eastAsia"/>
              </w:rPr>
              <w:t>文件名称</w:t>
            </w:r>
          </w:p>
        </w:tc>
        <w:tc>
          <w:tcPr>
            <w:tcW w:w="9255" w:type="dxa"/>
            <w:shd w:val="clear" w:color="auto" w:fill="EBF1DE" w:themeFill="accent3" w:themeFillTint="32"/>
          </w:tcPr>
          <w:p>
            <w:r>
              <w:rPr>
                <w:rFonts w:hint="eastAsia"/>
              </w:rPr>
              <w:t>如：</w:t>
            </w:r>
            <w:r>
              <w:rPr/>
              <w:sym w:font="Wingdings" w:char="00FE"/>
            </w:r>
            <w:r>
              <w:rPr>
                <w:rFonts w:hint="eastAsia"/>
              </w:rPr>
              <w:t>管理手册第7.1章</w:t>
            </w:r>
          </w:p>
        </w:tc>
        <w:tc>
          <w:tcPr>
            <w:tcW w:w="1591"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shd w:val="clear" w:color="auto" w:fill="EBF1DE" w:themeFill="accent3" w:themeFillTint="32"/>
          </w:tcPr>
          <w:p/>
        </w:tc>
        <w:tc>
          <w:tcPr>
            <w:tcW w:w="960" w:type="dxa"/>
            <w:gridSpan w:val="2"/>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5" w:type="dxa"/>
            <w:shd w:val="clear" w:color="auto" w:fill="EBF1DE" w:themeFill="accent3" w:themeFillTint="32"/>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4"/>
              </w:numPr>
              <w:rPr>
                <w:color w:val="000000"/>
                <w:szCs w:val="21"/>
              </w:rPr>
            </w:pPr>
            <w:r>
              <w:rPr>
                <w:rFonts w:hint="eastAsia"/>
                <w:color w:val="000000"/>
                <w:szCs w:val="21"/>
              </w:rPr>
              <w:t>现有内部资源的能力；</w:t>
            </w:r>
          </w:p>
          <w:p>
            <w:pPr>
              <w:rPr>
                <w:rFonts w:hint="eastAsia"/>
                <w:u w:val="single"/>
              </w:rPr>
            </w:pPr>
            <w:r>
              <w:rPr>
                <w:rFonts w:hint="eastAsia"/>
                <w:u w:val="single"/>
              </w:rPr>
              <w:t xml:space="preserve">厂房面积： 2272.87 平方米；建筑面积 6818.61 平方米；仓库配送场地 1 个；其中冷藏库 5个；冷冻库 3个；配送车辆：5 辆；常温库： 8  个 </w:t>
            </w:r>
          </w:p>
          <w:p>
            <w:pPr>
              <w:pStyle w:val="2"/>
              <w:rPr>
                <w:rFonts w:hint="default"/>
                <w:lang w:val="en-US" w:eastAsia="zh-CN"/>
              </w:rPr>
            </w:pPr>
          </w:p>
          <w:p>
            <w:pPr>
              <w:rPr>
                <w:u w:val="single"/>
              </w:rPr>
            </w:pPr>
            <w:r>
              <w:rPr>
                <w:rFonts w:hint="eastAsia"/>
              </w:rPr>
              <w:t>主要设备有：</w:t>
            </w:r>
            <w:r>
              <w:rPr>
                <w:rFonts w:hint="eastAsia"/>
                <w:u w:val="single"/>
              </w:rPr>
              <w:t xml:space="preserve"> </w:t>
            </w:r>
            <w:r>
              <w:rPr>
                <w:rFonts w:hint="eastAsia"/>
                <w:szCs w:val="21"/>
                <w:u w:val="single"/>
              </w:rPr>
              <w:t xml:space="preserve"> 冷冻库、</w:t>
            </w:r>
            <w:r>
              <w:rPr>
                <w:rFonts w:hint="eastAsia" w:ascii="宋体" w:hAnsi="宋体"/>
                <w:szCs w:val="21"/>
                <w:u w:val="single"/>
              </w:rPr>
              <w:t>冷藏库</w:t>
            </w:r>
            <w:r>
              <w:rPr>
                <w:rFonts w:hint="eastAsia"/>
                <w:szCs w:val="21"/>
                <w:u w:val="single"/>
              </w:rPr>
              <w:t>、电子秤、配</w:t>
            </w:r>
            <w:r>
              <w:rPr>
                <w:szCs w:val="21"/>
                <w:u w:val="single"/>
              </w:rPr>
              <w:t>送</w:t>
            </w:r>
            <w:r>
              <w:rPr>
                <w:rFonts w:hint="eastAsia"/>
                <w:szCs w:val="21"/>
                <w:u w:val="single"/>
              </w:rPr>
              <w:t>车辆</w:t>
            </w:r>
            <w:r>
              <w:rPr>
                <w:rFonts w:hint="eastAsia"/>
                <w:u w:val="single"/>
              </w:rPr>
              <w:t>（列举2~4种）</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不涉及         </w:t>
            </w:r>
          </w:p>
          <w:p>
            <w:pPr>
              <w:rPr>
                <w:color w:val="000000"/>
                <w:szCs w:val="21"/>
              </w:rPr>
            </w:pPr>
          </w:p>
          <w:p>
            <w:pPr>
              <w:numPr>
                <w:ilvl w:val="0"/>
                <w:numId w:val="5"/>
              </w:numPr>
              <w:rPr>
                <w:color w:val="000000"/>
                <w:szCs w:val="21"/>
                <w:u w:val="single"/>
              </w:rPr>
            </w:pPr>
            <w:r>
              <w:rPr>
                <w:rFonts w:hint="eastAsia"/>
                <w:color w:val="000000"/>
                <w:szCs w:val="21"/>
              </w:rPr>
              <w:t>还存在哪些局限和不足：</w:t>
            </w:r>
            <w:r>
              <w:rPr>
                <w:rFonts w:hint="eastAsia"/>
                <w:color w:val="000000"/>
                <w:szCs w:val="21"/>
                <w:u w:val="single"/>
              </w:rPr>
              <w:t xml:space="preserve">         无                          </w:t>
            </w:r>
          </w:p>
          <w:p>
            <w:pPr>
              <w:numPr>
                <w:ilvl w:val="0"/>
                <w:numId w:val="4"/>
              </w:numPr>
            </w:pPr>
            <w:r>
              <w:rPr>
                <w:rFonts w:hint="eastAsia"/>
                <w:color w:val="000000"/>
                <w:szCs w:val="21"/>
              </w:rPr>
              <w:t>需要从外部供方获得的资源：</w:t>
            </w:r>
            <w:r>
              <w:rPr>
                <w:rFonts w:hint="eastAsia"/>
              </w:rPr>
              <w:t xml:space="preserve"> </w:t>
            </w:r>
            <w:r>
              <w:rPr>
                <w:rFonts w:hint="eastAsia"/>
                <w:u w:val="single"/>
              </w:rPr>
              <w:t xml:space="preserve">    无</w:t>
            </w:r>
            <w:r>
              <w:rPr>
                <w:u w:val="single"/>
              </w:rPr>
              <w:t xml:space="preserve">    </w:t>
            </w:r>
            <w:r>
              <w:rPr>
                <w:rFonts w:hint="eastAsia"/>
                <w:u w:val="single"/>
              </w:rPr>
              <w:t xml:space="preserve"> </w:t>
            </w:r>
            <w:r>
              <w:rPr>
                <w:rFonts w:hint="eastAsia"/>
              </w:rPr>
              <w:t xml:space="preserve">                            </w:t>
            </w:r>
          </w:p>
        </w:tc>
        <w:tc>
          <w:tcPr>
            <w:tcW w:w="1591"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color w:val="000000"/>
                <w:szCs w:val="21"/>
              </w:rPr>
              <w:t>人员</w:t>
            </w:r>
          </w:p>
        </w:tc>
        <w:tc>
          <w:tcPr>
            <w:tcW w:w="960" w:type="dxa"/>
            <w:gridSpan w:val="2"/>
            <w:vMerge w:val="restart"/>
          </w:tcPr>
          <w:p>
            <w:pPr>
              <w:rPr>
                <w:color w:val="000000"/>
                <w:szCs w:val="21"/>
              </w:rPr>
            </w:pPr>
            <w:r>
              <w:rPr>
                <w:rFonts w:hint="eastAsia"/>
                <w:color w:val="000000"/>
                <w:szCs w:val="21"/>
              </w:rPr>
              <w:t>F7.1.1</w:t>
            </w:r>
          </w:p>
          <w:p>
            <w:pPr>
              <w:rPr>
                <w:color w:val="000000"/>
                <w:szCs w:val="21"/>
              </w:rPr>
            </w:pPr>
            <w:r>
              <w:rPr>
                <w:rFonts w:hint="eastAsia"/>
                <w:color w:val="000000"/>
                <w:szCs w:val="21"/>
              </w:rPr>
              <w:t>F7.1.2</w:t>
            </w:r>
          </w:p>
          <w:p>
            <w:pPr>
              <w:pStyle w:val="2"/>
            </w:pPr>
          </w:p>
          <w:p>
            <w:pPr>
              <w:rPr>
                <w:color w:val="000000"/>
                <w:szCs w:val="21"/>
              </w:rPr>
            </w:pPr>
          </w:p>
        </w:tc>
        <w:tc>
          <w:tcPr>
            <w:tcW w:w="745" w:type="dxa"/>
          </w:tcPr>
          <w:p>
            <w:r>
              <w:rPr>
                <w:rFonts w:hint="eastAsia"/>
              </w:rPr>
              <w:t>文件名称</w:t>
            </w:r>
          </w:p>
        </w:tc>
        <w:tc>
          <w:tcPr>
            <w:tcW w:w="9255" w:type="dxa"/>
          </w:tcPr>
          <w:p>
            <w:r>
              <w:rPr>
                <w:rFonts w:hint="eastAsia"/>
              </w:rPr>
              <w:t>如：</w:t>
            </w:r>
            <w:r>
              <w:rPr/>
              <w:sym w:font="Wingdings" w:char="00FE"/>
            </w:r>
            <w:r>
              <w:rPr>
                <w:rFonts w:hint="eastAsia"/>
              </w:rPr>
              <w:t xml:space="preserve">手册第7.1.1、7.1.2条款  </w:t>
            </w:r>
            <w:r>
              <w:rPr/>
              <w:sym w:font="Wingdings" w:char="00FE"/>
            </w:r>
            <w:r>
              <w:rPr>
                <w:rFonts w:hint="eastAsia"/>
              </w:rPr>
              <w:t>《人力资源管理和岗位培训程序》</w:t>
            </w:r>
          </w:p>
        </w:tc>
        <w:tc>
          <w:tcPr>
            <w:tcW w:w="1591"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color w:val="000000"/>
                      <w:szCs w:val="21"/>
                    </w:rPr>
                    <w:t>4</w:t>
                  </w:r>
                </w:p>
              </w:tc>
              <w:tc>
                <w:tcPr>
                  <w:tcW w:w="1292" w:type="dxa"/>
                </w:tcPr>
                <w:p>
                  <w:pPr>
                    <w:rPr>
                      <w:color w:val="000000"/>
                      <w:szCs w:val="21"/>
                    </w:rPr>
                  </w:pPr>
                  <w:r>
                    <w:rPr>
                      <w:rFonts w:hint="eastAsia"/>
                      <w:color w:val="000000"/>
                      <w:szCs w:val="21"/>
                    </w:rPr>
                    <w:t>0</w:t>
                  </w:r>
                </w:p>
              </w:tc>
              <w:tc>
                <w:tcPr>
                  <w:tcW w:w="1292" w:type="dxa"/>
                </w:tcPr>
                <w:p>
                  <w:pPr>
                    <w:rPr>
                      <w:rFonts w:hint="eastAsia" w:eastAsia="宋体"/>
                      <w:color w:val="000000"/>
                      <w:szCs w:val="21"/>
                      <w:lang w:eastAsia="zh-CN"/>
                    </w:rPr>
                  </w:pPr>
                  <w:r>
                    <w:rPr>
                      <w:color w:val="000000"/>
                      <w:szCs w:val="21"/>
                    </w:rPr>
                    <w:t>1</w:t>
                  </w:r>
                  <w:r>
                    <w:rPr>
                      <w:rFonts w:hint="eastAsia"/>
                      <w:color w:val="000000"/>
                      <w:szCs w:val="21"/>
                      <w:lang w:val="en-US" w:eastAsia="zh-CN"/>
                    </w:rPr>
                    <w:t>4</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18</w:t>
                  </w:r>
                </w:p>
              </w:tc>
            </w:tr>
          </w:tbl>
          <w:p>
            <w:pPr>
              <w:rPr>
                <w:rFonts w:hint="default" w:eastAsia="宋体"/>
                <w:lang w:val="en-US" w:eastAsia="zh-CN"/>
              </w:rPr>
            </w:pPr>
          </w:p>
          <w:p>
            <w:pPr>
              <w:pStyle w:val="2"/>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43" w:hRule="atLeast"/>
        </w:trPr>
        <w:tc>
          <w:tcPr>
            <w:tcW w:w="2171" w:type="dxa"/>
            <w:gridSpan w:val="2"/>
            <w:vMerge w:val="restart"/>
            <w:shd w:val="clear" w:color="auto" w:fill="auto"/>
          </w:tcPr>
          <w:p>
            <w:r>
              <w:t>食品安全管理体系外部建立的要素</w:t>
            </w:r>
          </w:p>
        </w:tc>
        <w:tc>
          <w:tcPr>
            <w:tcW w:w="938" w:type="dxa"/>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9255"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p>
        </w:tc>
        <w:tc>
          <w:tcPr>
            <w:tcW w:w="1591"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90" w:hRule="atLeast"/>
        </w:trPr>
        <w:tc>
          <w:tcPr>
            <w:tcW w:w="2171" w:type="dxa"/>
            <w:gridSpan w:val="2"/>
            <w:vMerge w:val="continue"/>
            <w:shd w:val="clear" w:color="auto" w:fill="auto"/>
          </w:tcPr>
          <w:p/>
        </w:tc>
        <w:tc>
          <w:tcPr>
            <w:tcW w:w="938" w:type="dxa"/>
            <w:vMerge w:val="continue"/>
            <w:shd w:val="clear" w:color="auto" w:fill="auto"/>
          </w:tcPr>
          <w:p/>
        </w:tc>
        <w:tc>
          <w:tcPr>
            <w:tcW w:w="745" w:type="dxa"/>
            <w:shd w:val="clear" w:color="auto" w:fill="auto"/>
          </w:tcPr>
          <w:p>
            <w:r>
              <w:rPr>
                <w:rFonts w:hint="eastAsia"/>
              </w:rPr>
              <w:t>运行证据</w:t>
            </w:r>
          </w:p>
        </w:tc>
        <w:tc>
          <w:tcPr>
            <w:tcW w:w="9255"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gridSpan w:val="2"/>
            <w:vMerge w:val="restart"/>
          </w:tcPr>
          <w:p>
            <w:r>
              <w:rPr>
                <w:rFonts w:hint="eastAsia"/>
              </w:rPr>
              <w:t>监视、测量、分析和评价</w:t>
            </w:r>
          </w:p>
          <w:p/>
        </w:tc>
        <w:tc>
          <w:tcPr>
            <w:tcW w:w="960" w:type="dxa"/>
            <w:gridSpan w:val="2"/>
            <w:vMerge w:val="restart"/>
          </w:tcPr>
          <w:p>
            <w:r>
              <w:rPr>
                <w:rFonts w:hint="eastAsia"/>
              </w:rPr>
              <w:t>F9.1.1</w:t>
            </w:r>
          </w:p>
          <w:p/>
        </w:tc>
        <w:tc>
          <w:tcPr>
            <w:tcW w:w="745" w:type="dxa"/>
          </w:tcPr>
          <w:p>
            <w:r>
              <w:rPr>
                <w:rFonts w:hint="eastAsia"/>
              </w:rPr>
              <w:t>文件名称</w:t>
            </w:r>
          </w:p>
        </w:tc>
        <w:tc>
          <w:tcPr>
            <w:tcW w:w="9255" w:type="dxa"/>
          </w:tcPr>
          <w:p>
            <w:pPr>
              <w:rPr>
                <w:b/>
                <w:bCs/>
              </w:rPr>
            </w:pPr>
            <w:r>
              <w:rPr>
                <w:rFonts w:hint="eastAsia"/>
              </w:rPr>
              <w:t>如：</w:t>
            </w:r>
            <w:r>
              <w:rPr>
                <w:rFonts w:hint="eastAsia"/>
              </w:rPr>
              <w:sym w:font="Wingdings" w:char="00FE"/>
            </w:r>
            <w:r>
              <w:rPr>
                <w:rFonts w:hint="eastAsia"/>
              </w:rPr>
              <w:t>管理手册9.1.1条款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rPr>
              <w:t>组织对监视和测量的食品安全绩效：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68"/>
              <w:gridCol w:w="1955"/>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368" w:type="dxa"/>
                </w:tcPr>
                <w:p>
                  <w:pPr>
                    <w:rPr>
                      <w:szCs w:val="21"/>
                    </w:rPr>
                  </w:pPr>
                  <w:r>
                    <w:rPr>
                      <w:rFonts w:hint="eastAsia"/>
                      <w:szCs w:val="21"/>
                    </w:rPr>
                    <w:t>监视、测量、分析和评价的方法</w:t>
                  </w:r>
                </w:p>
              </w:tc>
              <w:tc>
                <w:tcPr>
                  <w:tcW w:w="1955"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hint="eastAsia" w:eastAsia="宋体"/>
                      <w:szCs w:val="21"/>
                      <w:lang w:val="en-US" w:eastAsia="zh-CN"/>
                    </w:rPr>
                  </w:pPr>
                  <w:r>
                    <w:rPr>
                      <w:rFonts w:hint="eastAsia"/>
                      <w:szCs w:val="21"/>
                      <w:lang w:val="en-US" w:eastAsia="zh-CN"/>
                    </w:rPr>
                    <w:t>产品</w:t>
                  </w:r>
                </w:p>
              </w:tc>
              <w:tc>
                <w:tcPr>
                  <w:tcW w:w="2368" w:type="dxa"/>
                </w:tcPr>
                <w:p>
                  <w:pPr>
                    <w:rPr>
                      <w:rFonts w:hint="default" w:eastAsia="宋体"/>
                      <w:szCs w:val="21"/>
                      <w:lang w:val="en-US" w:eastAsia="zh-CN"/>
                    </w:rPr>
                  </w:pPr>
                  <w:r>
                    <w:rPr>
                      <w:rFonts w:hint="eastAsia"/>
                      <w:szCs w:val="21"/>
                      <w:lang w:val="en-US" w:eastAsia="zh-CN"/>
                    </w:rPr>
                    <w:t>每年从供方索取检测报告，果蔬类每批自测农残</w:t>
                  </w:r>
                </w:p>
              </w:tc>
              <w:tc>
                <w:tcPr>
                  <w:tcW w:w="1955" w:type="dxa"/>
                </w:tcPr>
                <w:p>
                  <w:pPr>
                    <w:rPr>
                      <w:szCs w:val="21"/>
                    </w:rPr>
                  </w:pPr>
                  <w:r>
                    <w:rPr>
                      <w:rFonts w:hint="eastAsia" w:ascii="Segoe UI Emoji" w:hAnsi="Segoe UI Emoji" w:cs="Segoe UI Emoji"/>
                      <w:color w:val="000000"/>
                      <w:sz w:val="15"/>
                      <w:szCs w:val="15"/>
                      <w:lang w:eastAsia="zh-CN"/>
                    </w:rPr>
                    <w:t>□</w:t>
                  </w:r>
                  <w:r>
                    <w:rPr>
                      <w:rFonts w:hint="eastAsia"/>
                      <w:szCs w:val="21"/>
                    </w:rPr>
                    <w:t>定期检查</w:t>
                  </w:r>
                </w:p>
                <w:p>
                  <w:pPr>
                    <w:rPr>
                      <w:rFonts w:hint="eastAsia" w:eastAsia="宋体"/>
                      <w:szCs w:val="21"/>
                      <w:lang w:eastAsia="zh-CN"/>
                    </w:rPr>
                  </w:pPr>
                  <w:r>
                    <w:rPr>
                      <w:rFonts w:hint="eastAsia" w:ascii="Segoe UI Emoji" w:hAnsi="Segoe UI Emoji" w:cs="Segoe UI Emoji"/>
                      <w:color w:val="000000"/>
                      <w:sz w:val="15"/>
                      <w:szCs w:val="15"/>
                      <w:lang w:eastAsia="zh-CN"/>
                    </w:rPr>
                    <w:sym w:font="Wingdings 2" w:char="0052"/>
                  </w:r>
                  <w:r>
                    <w:rPr>
                      <w:rFonts w:hint="eastAsia"/>
                      <w:szCs w:val="21"/>
                      <w:lang w:val="en-US" w:eastAsia="zh-CN"/>
                    </w:rPr>
                    <w:t>每批</w:t>
                  </w:r>
                </w:p>
                <w:p>
                  <w:pPr>
                    <w:rPr>
                      <w:rFonts w:hint="eastAsia"/>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rFonts w:hint="default" w:eastAsia="宋体"/>
                      <w:szCs w:val="21"/>
                      <w:lang w:val="en-US" w:eastAsia="zh-CN"/>
                    </w:rPr>
                  </w:pPr>
                  <w:r>
                    <w:rPr>
                      <w:rFonts w:hint="eastAsia"/>
                      <w:szCs w:val="21"/>
                      <w:lang w:val="en-US" w:eastAsia="zh-CN"/>
                    </w:rPr>
                    <w:t>产品安全性标准</w:t>
                  </w:r>
                </w:p>
              </w:tc>
              <w:tc>
                <w:tcPr>
                  <w:tcW w:w="1738" w:type="dxa"/>
                </w:tcPr>
                <w:p>
                  <w:pPr>
                    <w:rPr>
                      <w:rFonts w:hint="eastAsia" w:eastAsia="宋体"/>
                      <w:szCs w:val="21"/>
                      <w:lang w:eastAsia="zh-CN"/>
                    </w:rPr>
                  </w:pPr>
                  <w:r>
                    <w:rPr>
                      <w:rFonts w:hint="eastAsia" w:ascii="Segoe UI Emoji" w:hAnsi="Segoe UI Emoji" w:cs="Segoe UI Emoji"/>
                      <w:color w:val="000000"/>
                      <w:sz w:val="15"/>
                      <w:szCs w:val="15"/>
                      <w:lang w:eastAsia="zh-CN"/>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hint="eastAsia" w:ascii="Segoe UI Emoji" w:hAnsi="Segoe UI Emoji" w:cs="Segoe UI Emoji"/>
                      <w:color w:val="000000"/>
                      <w:sz w:val="15"/>
                      <w:szCs w:val="15"/>
                    </w:rPr>
                    <w:sym w:font="Wingdings 2" w:char="0052"/>
                  </w:r>
                  <w:r>
                    <w:rPr>
                      <w:rFonts w:hint="eastAsia"/>
                      <w:szCs w:val="21"/>
                    </w:rPr>
                    <w:t>每年</w:t>
                  </w:r>
                  <w:r>
                    <w:rPr>
                      <w:rFonts w:hint="eastAsia"/>
                      <w:color w:val="000000"/>
                      <w:szCs w:val="21"/>
                    </w:rPr>
                    <w:sym w:font="Wingdings 2" w:char="0052"/>
                  </w:r>
                  <w:r>
                    <w:rPr>
                      <w:rFonts w:hint="eastAsia"/>
                      <w:szCs w:val="21"/>
                      <w:lang w:val="en-US" w:eastAsia="zh-CN"/>
                    </w:rPr>
                    <w:t>每批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368"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955"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szCs w:val="21"/>
                    </w:rPr>
                  </w:pPr>
                  <w:r>
                    <w:rPr>
                      <w:rFonts w:hint="eastAsia"/>
                      <w:szCs w:val="21"/>
                    </w:rPr>
                    <w:t>相关标准、程序文件要求等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hint="eastAsia"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368" w:type="dxa"/>
                </w:tcPr>
                <w:p>
                  <w:pPr>
                    <w:rPr>
                      <w:szCs w:val="21"/>
                    </w:rPr>
                  </w:pPr>
                  <w:r>
                    <w:rPr>
                      <w:rFonts w:hint="eastAsia"/>
                      <w:szCs w:val="21"/>
                    </w:rPr>
                    <w:t>内部审核；对内审不符合项进行分析</w:t>
                  </w:r>
                </w:p>
              </w:tc>
              <w:tc>
                <w:tcPr>
                  <w:tcW w:w="1955"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368" w:type="dxa"/>
                </w:tcPr>
                <w:p>
                  <w:pPr>
                    <w:rPr>
                      <w:szCs w:val="21"/>
                    </w:rPr>
                  </w:pPr>
                  <w:r>
                    <w:rPr>
                      <w:rFonts w:hint="eastAsia"/>
                      <w:szCs w:val="21"/>
                    </w:rPr>
                    <w:t>管理评审，对FSMS存在的需要问题进行分析</w:t>
                  </w:r>
                </w:p>
              </w:tc>
              <w:tc>
                <w:tcPr>
                  <w:tcW w:w="195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rFonts w:hint="eastAsia"/>
                    </w:rPr>
                  </w:pPr>
                  <w:r>
                    <w:rPr>
                      <w:rFonts w:hint="eastAsia"/>
                    </w:rPr>
                    <w:t>ISO22000：2018</w:t>
                  </w:r>
                </w:p>
                <w:p>
                  <w:pPr>
                    <w:pStyle w:val="2"/>
                    <w:ind w:left="0" w:leftChars="0" w:firstLine="0" w:firstLineChars="0"/>
                    <w:rPr>
                      <w:rFonts w:hint="eastAsia" w:eastAsia="宋体"/>
                      <w:lang w:eastAsia="zh-CN"/>
                    </w:rPr>
                  </w:pPr>
                  <w:r>
                    <w:rPr>
                      <w:rFonts w:hint="eastAsia"/>
                      <w:szCs w:val="21"/>
                      <w:lang w:eastAsia="zh-CN"/>
                    </w:rPr>
                    <w:t>《</w:t>
                  </w:r>
                  <w:r>
                    <w:rPr>
                      <w:rFonts w:hint="eastAsia"/>
                      <w:szCs w:val="21"/>
                      <w:lang w:val="en-US" w:eastAsia="zh-CN"/>
                    </w:rPr>
                    <w:t>内审管理程序</w:t>
                  </w:r>
                  <w:r>
                    <w:rPr>
                      <w:rFonts w:hint="eastAsia"/>
                      <w:szCs w:val="21"/>
                      <w:lang w:eastAsia="zh-CN"/>
                    </w:rPr>
                    <w:t>》</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368" w:type="dxa"/>
                </w:tcPr>
                <w:p>
                  <w:pPr>
                    <w:rPr>
                      <w:szCs w:val="21"/>
                    </w:rPr>
                  </w:pPr>
                  <w:r>
                    <w:rPr>
                      <w:rFonts w:hint="eastAsia"/>
                      <w:szCs w:val="21"/>
                    </w:rPr>
                    <w:t>反馈处理，对问题进行统计</w:t>
                  </w:r>
                </w:p>
              </w:tc>
              <w:tc>
                <w:tcPr>
                  <w:tcW w:w="195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3" w:type="dxa"/>
            <w:gridSpan w:val="2"/>
            <w:vMerge w:val="restart"/>
          </w:tcPr>
          <w:p>
            <w:pPr>
              <w:keepNext w:val="0"/>
              <w:keepLines w:val="0"/>
              <w:suppressLineNumbers w:val="0"/>
              <w:spacing w:before="0" w:beforeAutospacing="0" w:after="0" w:afterAutospacing="0"/>
              <w:ind w:left="0" w:right="0"/>
              <w:rPr>
                <w:rFonts w:hint="default"/>
                <w:szCs w:val="20"/>
              </w:rPr>
            </w:pPr>
            <w:r>
              <w:rPr>
                <w:rFonts w:hint="eastAsia"/>
                <w:szCs w:val="20"/>
              </w:rPr>
              <w:t>内部</w:t>
            </w:r>
            <w:r>
              <w:rPr>
                <w:rFonts w:hint="default"/>
                <w:szCs w:val="20"/>
              </w:rPr>
              <w:t>审核</w:t>
            </w:r>
          </w:p>
        </w:tc>
        <w:tc>
          <w:tcPr>
            <w:tcW w:w="960" w:type="dxa"/>
            <w:gridSpan w:val="2"/>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F9.2</w:t>
            </w: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w:t>
            </w:r>
            <w:r>
              <w:rPr>
                <w:rFonts w:hint="default"/>
                <w:szCs w:val="20"/>
              </w:rPr>
              <w:t>件名称</w:t>
            </w:r>
          </w:p>
        </w:tc>
        <w:tc>
          <w:tcPr>
            <w:tcW w:w="9255"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t>：</w:t>
            </w:r>
            <w:r>
              <w:rPr>
                <w:rFonts w:hint="default"/>
                <w:color w:val="000000"/>
                <w:szCs w:val="20"/>
              </w:rPr>
              <w:sym w:font="Wingdings" w:char="00FE"/>
            </w:r>
            <w:r>
              <w:rPr>
                <w:rFonts w:hint="default"/>
                <w:szCs w:val="20"/>
              </w:rPr>
              <w:t>管理</w:t>
            </w:r>
            <w:r>
              <w:rPr>
                <w:rFonts w:hint="eastAsia"/>
                <w:szCs w:val="20"/>
              </w:rPr>
              <w:t>手</w:t>
            </w:r>
            <w:r>
              <w:rPr>
                <w:rFonts w:hint="default"/>
                <w:szCs w:val="20"/>
              </w:rPr>
              <w:t>册</w:t>
            </w:r>
            <w:r>
              <w:rPr>
                <w:rFonts w:hint="eastAsia"/>
                <w:szCs w:val="20"/>
              </w:rPr>
              <w:t>第9.2章、</w:t>
            </w:r>
            <w:r>
              <w:rPr>
                <w:rFonts w:hint="default"/>
                <w:color w:val="000000"/>
                <w:szCs w:val="20"/>
              </w:rPr>
              <w:sym w:font="Wingdings" w:char="00FE"/>
            </w:r>
            <w:r>
              <w:rPr>
                <w:rFonts w:hint="eastAsia"/>
                <w:color w:val="000000"/>
                <w:szCs w:val="20"/>
              </w:rPr>
              <w:t>《内部审核程序》</w:t>
            </w:r>
          </w:p>
        </w:tc>
        <w:tc>
          <w:tcPr>
            <w:tcW w:w="159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3" w:type="dxa"/>
            <w:gridSpan w:val="2"/>
            <w:vMerge w:val="continue"/>
          </w:tcPr>
          <w:p>
            <w:pPr>
              <w:keepNext w:val="0"/>
              <w:keepLines w:val="0"/>
              <w:suppressLineNumbers w:val="0"/>
              <w:spacing w:before="0" w:beforeAutospacing="0" w:after="0" w:afterAutospacing="0"/>
              <w:ind w:left="0" w:right="0"/>
              <w:rPr>
                <w:rFonts w:hint="default"/>
                <w:szCs w:val="20"/>
              </w:rPr>
            </w:pPr>
          </w:p>
        </w:tc>
        <w:tc>
          <w:tcPr>
            <w:tcW w:w="960" w:type="dxa"/>
            <w:gridSpan w:val="2"/>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p>
        </w:tc>
        <w:tc>
          <w:tcPr>
            <w:tcW w:w="9255" w:type="dxa"/>
          </w:tcPr>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21"/>
              </w:rPr>
              <w:t>☑</w:t>
            </w:r>
            <w:r>
              <w:rPr>
                <w:rFonts w:hint="eastAsia"/>
                <w:color w:val="000000"/>
                <w:szCs w:val="18"/>
              </w:rPr>
              <w:t>自管理体系建立后/</w:t>
            </w:r>
            <w:r>
              <w:rPr>
                <w:rFonts w:hint="default"/>
                <w:szCs w:val="20"/>
              </w:rPr>
              <w:sym w:font="Wingdings" w:char="00A8"/>
            </w:r>
            <w:r>
              <w:rPr>
                <w:rFonts w:hint="eastAsia"/>
                <w:szCs w:val="20"/>
              </w:rPr>
              <w:t>近一年</w:t>
            </w:r>
            <w:r>
              <w:rPr>
                <w:rFonts w:hint="eastAsia"/>
                <w:color w:val="000000"/>
                <w:szCs w:val="18"/>
              </w:rPr>
              <w:t>，于</w:t>
            </w:r>
            <w:r>
              <w:rPr>
                <w:rFonts w:hint="eastAsia"/>
                <w:color w:val="000000"/>
                <w:szCs w:val="18"/>
                <w:u w:val="single"/>
              </w:rPr>
              <w:t xml:space="preserve"> </w:t>
            </w:r>
            <w:r>
              <w:rPr>
                <w:rFonts w:hint="default"/>
                <w:color w:val="000000"/>
                <w:szCs w:val="18"/>
                <w:u w:val="single"/>
              </w:rPr>
              <w:t xml:space="preserve">  </w:t>
            </w:r>
            <w:r>
              <w:rPr>
                <w:rFonts w:hint="eastAsia"/>
                <w:color w:val="000000"/>
                <w:szCs w:val="18"/>
                <w:u w:val="single"/>
              </w:rPr>
              <w:t>20</w:t>
            </w:r>
            <w:r>
              <w:rPr>
                <w:rFonts w:hint="eastAsia"/>
                <w:color w:val="000000"/>
                <w:szCs w:val="18"/>
                <w:u w:val="single"/>
                <w:lang w:val="en-US" w:eastAsia="zh-CN"/>
              </w:rPr>
              <w:t>22</w:t>
            </w:r>
            <w:r>
              <w:rPr>
                <w:rFonts w:hint="default"/>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default"/>
                <w:color w:val="000000"/>
                <w:szCs w:val="18"/>
                <w:u w:val="single"/>
              </w:rPr>
              <w:t xml:space="preserve"> </w:t>
            </w:r>
            <w:r>
              <w:rPr>
                <w:rFonts w:hint="eastAsia"/>
                <w:color w:val="000000"/>
                <w:szCs w:val="18"/>
                <w:u w:val="single"/>
                <w:lang w:val="en-US" w:eastAsia="zh-CN"/>
              </w:rPr>
              <w:t>03</w:t>
            </w:r>
            <w:r>
              <w:rPr>
                <w:rFonts w:hint="eastAsia"/>
                <w:color w:val="000000"/>
                <w:szCs w:val="18"/>
              </w:rPr>
              <w:t>月</w:t>
            </w:r>
            <w:r>
              <w:rPr>
                <w:rFonts w:hint="eastAsia"/>
                <w:color w:val="000000"/>
                <w:szCs w:val="18"/>
                <w:u w:val="single"/>
              </w:rPr>
              <w:t xml:space="preserve"> </w:t>
            </w:r>
            <w:r>
              <w:rPr>
                <w:rFonts w:hint="default"/>
                <w:color w:val="000000"/>
                <w:szCs w:val="18"/>
                <w:u w:val="single"/>
              </w:rPr>
              <w:t xml:space="preserve"> 15</w:t>
            </w:r>
            <w:r>
              <w:rPr>
                <w:rFonts w:hint="eastAsia"/>
                <w:color w:val="000000"/>
                <w:szCs w:val="18"/>
                <w:u w:val="single"/>
                <w:lang w:val="en-US" w:eastAsia="zh-CN"/>
              </w:rPr>
              <w:t>-16</w:t>
            </w:r>
            <w:r>
              <w:rPr>
                <w:rFonts w:hint="default"/>
                <w:color w:val="000000"/>
                <w:szCs w:val="18"/>
                <w:u w:val="single"/>
              </w:rPr>
              <w:t xml:space="preserve">  </w:t>
            </w:r>
            <w:r>
              <w:rPr>
                <w:rFonts w:hint="eastAsia"/>
                <w:color w:val="000000"/>
                <w:szCs w:val="18"/>
              </w:rPr>
              <w:t>日实施了内部审核；</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记录包括：</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《内审计划》：有</w:t>
            </w:r>
            <w:r>
              <w:rPr>
                <w:rFonts w:hint="eastAsia"/>
                <w:color w:val="000000"/>
                <w:szCs w:val="18"/>
                <w:u w:val="single"/>
              </w:rPr>
              <w:t xml:space="preserve"> </w:t>
            </w:r>
            <w:r>
              <w:rPr>
                <w:rFonts w:hint="default"/>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w:t>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21"/>
              </w:rPr>
            </w:pPr>
            <w:r>
              <w:rPr>
                <w:rFonts w:hint="eastAsia"/>
                <w:color w:val="000000"/>
                <w:szCs w:val="21"/>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lang w:val="en-US" w:eastAsia="zh-CN"/>
              </w:rPr>
              <w:t>/</w:t>
            </w:r>
            <w:r>
              <w:rPr>
                <w:rFonts w:hint="eastAsia"/>
                <w:color w:val="000000"/>
                <w:szCs w:val="18"/>
                <w:u w:val="single"/>
              </w:rPr>
              <w:t xml:space="preserve">食品安全小组、配送部     </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sym w:font="Wingdings 2" w:char="0052"/>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21"/>
              </w:rPr>
            </w:pPr>
            <w:r>
              <w:rPr>
                <w:rFonts w:hint="eastAsia"/>
                <w:color w:val="000000"/>
                <w:szCs w:val="21"/>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《不符合项报告》</w:t>
            </w:r>
            <w:r>
              <w:rPr>
                <w:rFonts w:hint="eastAsia"/>
                <w:color w:val="000000"/>
                <w:szCs w:val="18"/>
                <w:u w:val="single"/>
                <w:lang w:val="en-US" w:eastAsia="zh-CN"/>
              </w:rPr>
              <w:t>1</w:t>
            </w:r>
            <w:r>
              <w:rPr>
                <w:rFonts w:hint="default"/>
                <w:color w:val="000000"/>
                <w:szCs w:val="18"/>
                <w:u w:val="single"/>
              </w:rPr>
              <w:t xml:space="preserve"> </w:t>
            </w:r>
            <w:r>
              <w:rPr>
                <w:rFonts w:hint="eastAsia"/>
                <w:color w:val="000000"/>
                <w:szCs w:val="18"/>
              </w:rPr>
              <w:t>份；</w:t>
            </w:r>
          </w:p>
          <w:p>
            <w:pPr>
              <w:keepNext w:val="0"/>
              <w:keepLines w:val="0"/>
              <w:suppressLineNumbers w:val="0"/>
              <w:autoSpaceDE w:val="0"/>
              <w:autoSpaceDN w:val="0"/>
              <w:spacing w:before="0" w:beforeAutospacing="0" w:after="0" w:afterAutospacing="0" w:line="500" w:lineRule="atLeast"/>
              <w:ind w:left="0" w:right="0" w:firstLine="330"/>
              <w:rPr>
                <w:rFonts w:hint="default"/>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配送部仓库未及时更换灭蝇纸</w:t>
            </w:r>
            <w:r>
              <w:rPr>
                <w:rFonts w:hint="eastAsia" w:ascii="宋体" w:hAnsi="宋体"/>
                <w:szCs w:val="20"/>
                <w:u w:val="single"/>
              </w:rPr>
              <w:t>；</w:t>
            </w:r>
            <w:r>
              <w:rPr>
                <w:rFonts w:hint="eastAsia" w:ascii="宋体" w:hAnsi="宋体"/>
                <w:szCs w:val="21"/>
                <w:u w:val="single"/>
              </w:rPr>
              <w:t>不符合ISO 22000:2018标准</w:t>
            </w:r>
            <w:r>
              <w:rPr>
                <w:rFonts w:hint="default" w:ascii="宋体" w:hAnsi="宋体"/>
                <w:color w:val="000000"/>
                <w:szCs w:val="24"/>
                <w:u w:val="single"/>
              </w:rPr>
              <w:t>8.</w:t>
            </w:r>
            <w:r>
              <w:rPr>
                <w:rFonts w:hint="eastAsia" w:ascii="宋体" w:hAnsi="宋体"/>
                <w:color w:val="000000"/>
                <w:szCs w:val="24"/>
                <w:u w:val="single"/>
                <w:lang w:val="en-US" w:eastAsia="zh-CN"/>
              </w:rPr>
              <w:t>2条款</w:t>
            </w:r>
            <w:r>
              <w:rPr>
                <w:rFonts w:hint="eastAsia" w:ascii="宋体" w:hAnsi="宋体"/>
                <w:color w:val="000000"/>
                <w:szCs w:val="24"/>
                <w:u w:val="single"/>
              </w:rPr>
              <w:t>;</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firstLine="420" w:firstLineChars="200"/>
              <w:jc w:val="left"/>
              <w:rPr>
                <w:rFonts w:hint="eastAsia"/>
                <w:color w:val="000000"/>
                <w:szCs w:val="21"/>
              </w:rPr>
            </w:pP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color w:val="000000"/>
                <w:szCs w:val="21"/>
              </w:rPr>
              <w:t>☑</w:t>
            </w:r>
            <w:r>
              <w:rPr>
                <w:rFonts w:hint="eastAsia"/>
                <w:szCs w:val="20"/>
              </w:rPr>
              <w:t xml:space="preserve">不符合项已关闭  </w:t>
            </w:r>
            <w:r>
              <w:rPr>
                <w:rFonts w:hint="eastAsia"/>
                <w:szCs w:val="20"/>
              </w:rPr>
              <w:sym w:font="Wingdings" w:char="00A8"/>
            </w:r>
            <w:r>
              <w:rPr>
                <w:rFonts w:hint="eastAsia"/>
                <w:szCs w:val="20"/>
              </w:rPr>
              <w:t xml:space="preserve">不符合项部分关闭   </w:t>
            </w: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szCs w:val="20"/>
              </w:rPr>
              <w:sym w:font="Wingdings" w:char="00A8"/>
            </w:r>
            <w:r>
              <w:rPr>
                <w:rFonts w:hint="eastAsia"/>
                <w:szCs w:val="20"/>
              </w:rPr>
              <w:t>不符合项未关闭</w:t>
            </w:r>
            <w:r>
              <w:rPr>
                <w:rFonts w:hint="eastAsia"/>
                <w:color w:val="000000"/>
                <w:szCs w:val="21"/>
              </w:rPr>
              <w:t>，缺少</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keepNext w:val="0"/>
              <w:keepLines w:val="0"/>
              <w:widowControl/>
              <w:suppressLineNumbers w:val="0"/>
              <w:spacing w:before="40" w:beforeAutospacing="0" w:after="0" w:afterAutospacing="0"/>
              <w:ind w:left="0" w:right="0"/>
              <w:jc w:val="left"/>
              <w:rPr>
                <w:rFonts w:hint="default"/>
                <w:szCs w:val="20"/>
              </w:rPr>
            </w:pPr>
            <w:r>
              <w:rPr>
                <w:rFonts w:hint="eastAsia"/>
                <w:color w:val="000000"/>
                <w:szCs w:val="21"/>
              </w:rPr>
              <w:t>□</w:t>
            </w:r>
            <w:r>
              <w:rPr>
                <w:rFonts w:hint="eastAsia"/>
                <w:szCs w:val="20"/>
              </w:rPr>
              <w:t xml:space="preserve">体系运行有效  </w:t>
            </w:r>
            <w:r>
              <w:rPr>
                <w:rFonts w:hint="eastAsia"/>
                <w:color w:val="000000"/>
                <w:szCs w:val="21"/>
              </w:rPr>
              <w:t>☑</w:t>
            </w:r>
            <w:r>
              <w:rPr>
                <w:rFonts w:hint="eastAsia"/>
                <w:szCs w:val="20"/>
              </w:rPr>
              <w:t xml:space="preserve">体系运行基本有效   </w:t>
            </w:r>
          </w:p>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sym w:font="Wingdings" w:char="00A8"/>
            </w:r>
            <w:r>
              <w:rPr>
                <w:rFonts w:hint="eastAsia"/>
                <w:szCs w:val="20"/>
              </w:rPr>
              <w:t>体系运行失效</w:t>
            </w:r>
            <w:r>
              <w:rPr>
                <w:rFonts w:hint="eastAsia"/>
                <w:color w:val="000000"/>
                <w:szCs w:val="21"/>
              </w:rPr>
              <w:t>，问题</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本次现场审核时，上述不符合项的纠正措施的有效性</w:t>
            </w:r>
          </w:p>
          <w:p>
            <w:pPr>
              <w:keepNext w:val="0"/>
              <w:keepLines w:val="0"/>
              <w:suppressLineNumbers w:val="0"/>
              <w:spacing w:before="0" w:beforeAutospacing="0" w:after="0" w:afterAutospacing="0"/>
              <w:ind w:left="0" w:right="0"/>
              <w:rPr>
                <w:rFonts w:hint="default"/>
                <w:szCs w:val="20"/>
              </w:rPr>
            </w:pPr>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3" w:type="dxa"/>
            <w:gridSpan w:val="2"/>
            <w:vMerge w:val="restart"/>
          </w:tcPr>
          <w:p>
            <w:r>
              <w:rPr>
                <w:rFonts w:hint="eastAsia"/>
              </w:rPr>
              <w:t>管理评审</w:t>
            </w:r>
          </w:p>
          <w:p/>
        </w:tc>
        <w:tc>
          <w:tcPr>
            <w:tcW w:w="960" w:type="dxa"/>
            <w:gridSpan w:val="2"/>
            <w:vMerge w:val="restart"/>
          </w:tcPr>
          <w:p>
            <w:r>
              <w:rPr>
                <w:rFonts w:hint="eastAsia"/>
              </w:rPr>
              <w:t>F9.3</w:t>
            </w:r>
          </w:p>
        </w:tc>
        <w:tc>
          <w:tcPr>
            <w:tcW w:w="745" w:type="dxa"/>
          </w:tcPr>
          <w:p>
            <w:r>
              <w:rPr>
                <w:rFonts w:hint="eastAsia"/>
              </w:rPr>
              <w:t>文件名称</w:t>
            </w:r>
          </w:p>
        </w:tc>
        <w:tc>
          <w:tcPr>
            <w:tcW w:w="9255" w:type="dxa"/>
          </w:tcPr>
          <w:p>
            <w:r>
              <w:rPr>
                <w:rFonts w:hint="eastAsia"/>
              </w:rPr>
              <w:t>如：</w:t>
            </w:r>
            <w:r>
              <w:rPr>
                <w:rFonts w:hint="eastAsia"/>
              </w:rPr>
              <w:sym w:font="Wingdings" w:char="00FE"/>
            </w:r>
            <w:r>
              <w:rPr>
                <w:rFonts w:hint="eastAsia"/>
              </w:rPr>
              <w:t xml:space="preserve">《管理评审控制程序》 </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3" w:type="dxa"/>
            <w:gridSpan w:val="2"/>
            <w:vMerge w:val="continue"/>
          </w:tcPr>
          <w:p/>
        </w:tc>
        <w:tc>
          <w:tcPr>
            <w:tcW w:w="960" w:type="dxa"/>
            <w:gridSpan w:val="2"/>
            <w:vMerge w:val="continue"/>
          </w:tcPr>
          <w:p/>
        </w:tc>
        <w:tc>
          <w:tcPr>
            <w:tcW w:w="745" w:type="dxa"/>
          </w:tcPr>
          <w:p>
            <w:pPr>
              <w:widowControl/>
              <w:spacing w:before="40"/>
              <w:jc w:val="left"/>
              <w:rPr>
                <w:color w:val="000000"/>
                <w:szCs w:val="18"/>
              </w:rPr>
            </w:pPr>
          </w:p>
          <w:p>
            <w:r>
              <w:rPr>
                <w:rFonts w:hint="eastAsia"/>
              </w:rPr>
              <w:t>运行证据</w:t>
            </w:r>
          </w:p>
        </w:tc>
        <w:tc>
          <w:tcPr>
            <w:tcW w:w="9255" w:type="dxa"/>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2</w:t>
            </w:r>
            <w:r>
              <w:rPr>
                <w:rFonts w:hint="eastAsia"/>
                <w:color w:val="000000"/>
                <w:szCs w:val="18"/>
              </w:rPr>
              <w:t>年</w:t>
            </w:r>
            <w:r>
              <w:rPr>
                <w:rFonts w:hint="eastAsia"/>
                <w:color w:val="000000"/>
                <w:szCs w:val="18"/>
                <w:u w:val="single"/>
              </w:rPr>
              <w:t xml:space="preserve"> 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2"/>
              <w:gridCol w:w="1967"/>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管理评审输入信息</w:t>
                  </w:r>
                </w:p>
              </w:tc>
              <w:tc>
                <w:tcPr>
                  <w:tcW w:w="1967" w:type="dxa"/>
                </w:tcPr>
                <w:p>
                  <w:pPr>
                    <w:widowControl/>
                    <w:spacing w:before="40"/>
                    <w:jc w:val="left"/>
                    <w:rPr>
                      <w:color w:val="000000"/>
                      <w:szCs w:val="21"/>
                    </w:rPr>
                  </w:pPr>
                  <w:r>
                    <w:rPr>
                      <w:rFonts w:hint="eastAsia"/>
                      <w:color w:val="000000"/>
                      <w:szCs w:val="21"/>
                    </w:rPr>
                    <w:t>评价</w:t>
                  </w:r>
                </w:p>
              </w:tc>
              <w:tc>
                <w:tcPr>
                  <w:tcW w:w="2294"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967"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未发生较大变化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color w:val="000000"/>
                      <w:szCs w:val="21"/>
                    </w:rPr>
                    <w:t>实现食品安全管理体系目标的程度</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rFonts w:hint="eastAsia"/>
                    </w:rPr>
                    <w:t>资源的充分性</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color w:val="000000"/>
                      <w:szCs w:val="21"/>
                    </w:rPr>
                    <w:t>为应对风险和机遇所采取措施的有效性</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jc w:val="left"/>
                    <w:rPr>
                      <w:color w:val="000000"/>
                      <w:szCs w:val="21"/>
                    </w:rPr>
                  </w:pPr>
                  <w:r>
                    <w:rPr>
                      <w:rFonts w:hint="eastAsia"/>
                      <w:color w:val="000000"/>
                      <w:szCs w:val="21"/>
                    </w:rPr>
                    <w:t>1）加强全体人员对食品安全管理体系要求的培训,提高对标准的理解程度；责任人：李梦；整改期限：2022.06 月底前；</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r>
              <w:rPr>
                <w:rFonts w:hint="eastAsia"/>
              </w:rPr>
              <w:sym w:font="Wingdings" w:char="00FE"/>
            </w:r>
            <w:r>
              <w:rPr>
                <w:rFonts w:hint="eastAsia"/>
              </w:rPr>
              <w:t>改进措施未落实的原因：</w:t>
            </w:r>
            <w:r>
              <w:rPr>
                <w:rFonts w:hint="eastAsia"/>
                <w:u w:val="single"/>
              </w:rPr>
              <w:t xml:space="preserve">  </w:t>
            </w:r>
            <w:r>
              <w:rPr>
                <w:rFonts w:hint="eastAsia"/>
                <w:u w:val="single"/>
                <w:lang w:val="en-US" w:eastAsia="zh-CN"/>
              </w:rPr>
              <w:t>计划2022年6月底前完成</w:t>
            </w:r>
            <w:r>
              <w:rPr>
                <w:rFonts w:hint="eastAsia"/>
                <w:u w:val="single"/>
              </w:rPr>
              <w:t xml:space="preserve">               </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gridSpan w:val="2"/>
            <w:vMerge w:val="restart"/>
          </w:tcPr>
          <w:p>
            <w:pPr>
              <w:keepNext w:val="0"/>
              <w:keepLines w:val="0"/>
              <w:suppressLineNumbers w:val="0"/>
              <w:spacing w:before="0" w:beforeAutospacing="0" w:after="0" w:afterAutospacing="0"/>
              <w:ind w:left="0" w:right="0"/>
              <w:rPr>
                <w:rFonts w:hint="default"/>
                <w:szCs w:val="20"/>
              </w:rPr>
            </w:pPr>
            <w:r>
              <w:rPr>
                <w:rFonts w:hint="eastAsia"/>
                <w:szCs w:val="20"/>
              </w:rPr>
              <w:t>不符合</w:t>
            </w:r>
            <w:r>
              <w:rPr>
                <w:rFonts w:hint="default"/>
                <w:szCs w:val="20"/>
              </w:rPr>
              <w:t>和</w:t>
            </w:r>
            <w:r>
              <w:rPr>
                <w:rFonts w:hint="eastAsia"/>
                <w:szCs w:val="20"/>
              </w:rPr>
              <w:t>纠</w:t>
            </w:r>
            <w:r>
              <w:rPr>
                <w:rFonts w:hint="default"/>
                <w:szCs w:val="20"/>
              </w:rPr>
              <w:t>正措施</w:t>
            </w:r>
          </w:p>
        </w:tc>
        <w:tc>
          <w:tcPr>
            <w:tcW w:w="960" w:type="dxa"/>
            <w:gridSpan w:val="2"/>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F1</w:t>
            </w:r>
            <w:r>
              <w:rPr>
                <w:rFonts w:hint="default"/>
                <w:szCs w:val="20"/>
              </w:rPr>
              <w:t>0</w:t>
            </w:r>
            <w:r>
              <w:rPr>
                <w:rFonts w:hint="eastAsia"/>
                <w:szCs w:val="20"/>
              </w:rPr>
              <w:t>.1</w:t>
            </w: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w:t>
            </w:r>
            <w:r>
              <w:rPr>
                <w:rFonts w:hint="default"/>
                <w:szCs w:val="20"/>
              </w:rPr>
              <w:t>件名称</w:t>
            </w:r>
          </w:p>
        </w:tc>
        <w:tc>
          <w:tcPr>
            <w:tcW w:w="9255" w:type="dxa"/>
          </w:tcPr>
          <w:p>
            <w:pPr>
              <w:keepNext w:val="0"/>
              <w:keepLines w:val="0"/>
              <w:suppressLineNumbers w:val="0"/>
              <w:spacing w:before="0" w:beforeAutospacing="0" w:after="0" w:afterAutospacing="0"/>
              <w:ind w:left="0" w:right="0"/>
              <w:rPr>
                <w:rFonts w:hint="default"/>
                <w:szCs w:val="20"/>
              </w:rPr>
            </w:pPr>
            <w:r>
              <w:rPr>
                <w:rFonts w:hint="default"/>
                <w:color w:val="000000"/>
                <w:szCs w:val="20"/>
              </w:rPr>
              <w:sym w:font="Wingdings" w:char="00FE"/>
            </w:r>
            <w:r>
              <w:rPr>
                <w:rFonts w:hint="default"/>
                <w:szCs w:val="20"/>
              </w:rPr>
              <w:t>管理</w:t>
            </w:r>
            <w:r>
              <w:rPr>
                <w:rFonts w:hint="eastAsia"/>
                <w:szCs w:val="20"/>
              </w:rPr>
              <w:t>手</w:t>
            </w:r>
            <w:r>
              <w:rPr>
                <w:rFonts w:hint="default"/>
                <w:szCs w:val="20"/>
              </w:rPr>
              <w:t>册</w:t>
            </w:r>
            <w:r>
              <w:rPr>
                <w:rFonts w:hint="eastAsia"/>
                <w:szCs w:val="20"/>
              </w:rPr>
              <w:t>第10.1章、</w:t>
            </w:r>
            <w:r>
              <w:rPr>
                <w:rFonts w:hint="default"/>
                <w:color w:val="000000"/>
                <w:szCs w:val="20"/>
              </w:rPr>
              <w:sym w:font="Wingdings" w:char="00FE"/>
            </w:r>
            <w:r>
              <w:rPr>
                <w:rFonts w:hint="eastAsia"/>
                <w:szCs w:val="20"/>
              </w:rPr>
              <w:t>《不合格品控制程序》、</w:t>
            </w:r>
            <w:r>
              <w:rPr>
                <w:rFonts w:hint="default"/>
                <w:color w:val="000000"/>
                <w:szCs w:val="20"/>
              </w:rPr>
              <w:sym w:font="Wingdings" w:char="00FE"/>
            </w:r>
            <w:r>
              <w:rPr>
                <w:rFonts w:hint="eastAsia"/>
                <w:color w:val="000000"/>
                <w:szCs w:val="20"/>
              </w:rPr>
              <w:t>《纠正和改进措施控制程序》</w:t>
            </w:r>
          </w:p>
        </w:tc>
        <w:tc>
          <w:tcPr>
            <w:tcW w:w="1591"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3" w:type="dxa"/>
            <w:gridSpan w:val="2"/>
            <w:vMerge w:val="continue"/>
          </w:tcPr>
          <w:p>
            <w:pPr>
              <w:keepNext w:val="0"/>
              <w:keepLines w:val="0"/>
              <w:suppressLineNumbers w:val="0"/>
              <w:spacing w:before="0" w:beforeAutospacing="0" w:after="0" w:afterAutospacing="0"/>
              <w:ind w:left="0" w:right="0"/>
              <w:rPr>
                <w:rFonts w:hint="default"/>
                <w:szCs w:val="20"/>
              </w:rPr>
            </w:pPr>
          </w:p>
        </w:tc>
        <w:tc>
          <w:tcPr>
            <w:tcW w:w="960" w:type="dxa"/>
            <w:gridSpan w:val="2"/>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p>
        </w:tc>
        <w:tc>
          <w:tcPr>
            <w:tcW w:w="9255" w:type="dxa"/>
          </w:tcPr>
          <w:p>
            <w:pPr>
              <w:keepNext w:val="0"/>
              <w:keepLines w:val="0"/>
              <w:suppressLineNumbers w:val="0"/>
              <w:spacing w:before="0" w:beforeAutospacing="0" w:after="0" w:afterAutospacing="0"/>
              <w:ind w:left="0" w:right="0"/>
              <w:rPr>
                <w:rFonts w:hint="default"/>
                <w:szCs w:val="20"/>
              </w:rPr>
            </w:pPr>
            <w:r>
              <w:rPr>
                <w:rFonts w:hint="eastAsia"/>
                <w:szCs w:val="20"/>
              </w:rPr>
              <w:t>不符合的来源：</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 相关方投诉   </w:t>
            </w:r>
            <w:r>
              <w:rPr>
                <w:rFonts w:hint="eastAsia"/>
                <w:szCs w:val="20"/>
              </w:rPr>
              <w:sym w:font="Wingdings" w:char="00A8"/>
            </w:r>
            <w:r>
              <w:rPr>
                <w:rFonts w:hint="eastAsia"/>
                <w:szCs w:val="20"/>
              </w:rPr>
              <w:t xml:space="preserve">产品检查中出现的问题   </w:t>
            </w:r>
            <w:r>
              <w:rPr>
                <w:rFonts w:hint="eastAsia"/>
                <w:szCs w:val="20"/>
              </w:rPr>
              <w:sym w:font="Wingdings" w:char="00A8"/>
            </w:r>
            <w:r>
              <w:rPr>
                <w:rFonts w:hint="eastAsia"/>
                <w:szCs w:val="20"/>
              </w:rPr>
              <w:t xml:space="preserve">工作运行中的问题  </w:t>
            </w:r>
            <w:r>
              <w:rPr>
                <w:rFonts w:hint="eastAsia"/>
                <w:szCs w:val="20"/>
              </w:rPr>
              <w:sym w:font="Wingdings" w:char="00A8"/>
            </w:r>
            <w:r>
              <w:rPr>
                <w:rFonts w:hint="eastAsia"/>
                <w:szCs w:val="20"/>
              </w:rPr>
              <w:t xml:space="preserve">内审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u w:val="single"/>
              </w:rPr>
            </w:pPr>
            <w:r>
              <w:rPr>
                <w:rFonts w:hint="eastAsia"/>
                <w:szCs w:val="20"/>
              </w:rPr>
              <w:t>抽查采取纠正措施相关记录名称：</w:t>
            </w:r>
            <w:r>
              <w:rPr>
                <w:rFonts w:hint="eastAsia"/>
                <w:szCs w:val="20"/>
                <w:u w:val="single"/>
              </w:rPr>
              <w:t xml:space="preserve"> </w:t>
            </w:r>
            <w:r>
              <w:rPr>
                <w:rFonts w:hint="default"/>
                <w:szCs w:val="20"/>
                <w:u w:val="single"/>
              </w:rPr>
              <w:t xml:space="preserve">    </w:t>
            </w:r>
            <w:r>
              <w:rPr>
                <w:rFonts w:hint="eastAsia"/>
                <w:szCs w:val="20"/>
                <w:u w:val="single"/>
              </w:rPr>
              <w:t>《</w:t>
            </w:r>
            <w:r>
              <w:rPr>
                <w:rFonts w:hint="eastAsia"/>
                <w:szCs w:val="20"/>
                <w:u w:val="single"/>
                <w:lang w:val="en-US" w:eastAsia="zh-CN"/>
              </w:rPr>
              <w:t>审核周期内未发</w:t>
            </w:r>
            <w:r>
              <w:rPr>
                <w:rFonts w:hint="eastAsia"/>
                <w:szCs w:val="20"/>
                <w:u w:val="single"/>
              </w:rPr>
              <w:t>》</w:t>
            </w:r>
            <w:r>
              <w:rPr>
                <w:rFonts w:hint="default"/>
                <w:szCs w:val="20"/>
                <w:u w:val="single"/>
              </w:rPr>
              <w:t xml:space="preserve">      </w:t>
            </w:r>
            <w:r>
              <w:rPr>
                <w:rFonts w:hint="eastAsia"/>
                <w:szCs w:val="20"/>
                <w:u w:val="single"/>
              </w:rPr>
              <w:t xml:space="preserve">  </w:t>
            </w:r>
            <w:r>
              <w:rPr>
                <w:rFonts w:hint="default"/>
                <w:szCs w:val="20"/>
                <w:u w:val="single"/>
              </w:rPr>
              <w:t xml:space="preserve"> </w:t>
            </w:r>
            <w:r>
              <w:rPr>
                <w:rFonts w:hint="eastAsia"/>
                <w:szCs w:val="20"/>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2552"/>
              <w:gridCol w:w="1559"/>
              <w:gridCol w:w="113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日期</w:t>
                  </w:r>
                </w:p>
              </w:tc>
              <w:tc>
                <w:tcPr>
                  <w:tcW w:w="2033"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不符合描述</w:t>
                  </w:r>
                </w:p>
              </w:tc>
              <w:tc>
                <w:tcPr>
                  <w:tcW w:w="2552"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不符合纠正</w:t>
                  </w:r>
                </w:p>
              </w:tc>
              <w:tc>
                <w:tcPr>
                  <w:tcW w:w="1559"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原因分析</w:t>
                  </w:r>
                </w:p>
              </w:tc>
              <w:tc>
                <w:tcPr>
                  <w:tcW w:w="1134"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纠正措施</w:t>
                  </w:r>
                </w:p>
              </w:tc>
              <w:tc>
                <w:tcPr>
                  <w:tcW w:w="968"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ascii="宋体" w:hAnsi="宋体"/>
                      <w:szCs w:val="21"/>
                    </w:rPr>
                  </w:pPr>
                </w:p>
              </w:tc>
              <w:tc>
                <w:tcPr>
                  <w:tcW w:w="2033" w:type="dxa"/>
                </w:tcPr>
                <w:p>
                  <w:pPr>
                    <w:keepNext w:val="0"/>
                    <w:keepLines w:val="0"/>
                    <w:suppressLineNumbers w:val="0"/>
                    <w:autoSpaceDE w:val="0"/>
                    <w:autoSpaceDN w:val="0"/>
                    <w:adjustRightInd w:val="0"/>
                    <w:spacing w:before="0" w:beforeAutospacing="0" w:after="0" w:afterAutospacing="0" w:line="0" w:lineRule="atLeast"/>
                    <w:ind w:left="0" w:right="-27"/>
                    <w:jc w:val="left"/>
                    <w:textAlignment w:val="baseline"/>
                    <w:rPr>
                      <w:rFonts w:hint="default" w:ascii="宋体" w:hAnsi="宋体"/>
                      <w:szCs w:val="21"/>
                    </w:rPr>
                  </w:pPr>
                </w:p>
              </w:tc>
              <w:tc>
                <w:tcPr>
                  <w:tcW w:w="2552" w:type="dxa"/>
                </w:tcPr>
                <w:p>
                  <w:pPr>
                    <w:keepNext w:val="0"/>
                    <w:keepLines w:val="0"/>
                    <w:suppressLineNumbers w:val="0"/>
                    <w:autoSpaceDE w:val="0"/>
                    <w:autoSpaceDN w:val="0"/>
                    <w:adjustRightInd w:val="0"/>
                    <w:spacing w:before="0" w:beforeAutospacing="0" w:after="0" w:afterAutospacing="0" w:line="0" w:lineRule="atLeast"/>
                    <w:ind w:left="0" w:right="-27"/>
                    <w:jc w:val="left"/>
                    <w:textAlignment w:val="baseline"/>
                    <w:rPr>
                      <w:rFonts w:hint="default" w:ascii="宋体" w:hAnsi="宋体"/>
                      <w:szCs w:val="21"/>
                    </w:rPr>
                  </w:pPr>
                </w:p>
              </w:tc>
              <w:tc>
                <w:tcPr>
                  <w:tcW w:w="1559" w:type="dxa"/>
                </w:tcPr>
                <w:p>
                  <w:pPr>
                    <w:keepNext w:val="0"/>
                    <w:keepLines w:val="0"/>
                    <w:suppressLineNumbers w:val="0"/>
                    <w:spacing w:before="0" w:beforeAutospacing="0" w:after="0" w:afterAutospacing="0"/>
                    <w:ind w:left="0" w:right="0"/>
                    <w:rPr>
                      <w:rFonts w:hint="default" w:ascii="宋体" w:hAnsi="宋体"/>
                      <w:szCs w:val="21"/>
                    </w:rPr>
                  </w:pPr>
                </w:p>
              </w:tc>
              <w:tc>
                <w:tcPr>
                  <w:tcW w:w="1134" w:type="dxa"/>
                </w:tcPr>
                <w:p>
                  <w:pPr>
                    <w:keepNext w:val="0"/>
                    <w:keepLines w:val="0"/>
                    <w:suppressLineNumbers w:val="0"/>
                    <w:spacing w:before="0" w:beforeAutospacing="0" w:after="0" w:afterAutospacing="0"/>
                    <w:ind w:left="0" w:right="0"/>
                    <w:rPr>
                      <w:rFonts w:hint="default" w:ascii="宋体" w:hAnsi="宋体"/>
                      <w:szCs w:val="21"/>
                    </w:rPr>
                  </w:pPr>
                </w:p>
              </w:tc>
              <w:tc>
                <w:tcPr>
                  <w:tcW w:w="968"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ascii="宋体" w:hAnsi="宋体"/>
                      <w:szCs w:val="21"/>
                    </w:rPr>
                  </w:pPr>
                </w:p>
              </w:tc>
              <w:tc>
                <w:tcPr>
                  <w:tcW w:w="2033" w:type="dxa"/>
                </w:tcPr>
                <w:p>
                  <w:pPr>
                    <w:keepNext w:val="0"/>
                    <w:keepLines w:val="0"/>
                    <w:suppressLineNumbers w:val="0"/>
                    <w:autoSpaceDE w:val="0"/>
                    <w:autoSpaceDN w:val="0"/>
                    <w:spacing w:before="0" w:beforeAutospacing="0" w:after="0" w:afterAutospacing="0" w:line="500" w:lineRule="atLeast"/>
                    <w:ind w:left="0" w:right="0"/>
                    <w:rPr>
                      <w:rFonts w:hint="default" w:ascii="宋体" w:hAnsi="宋体"/>
                      <w:szCs w:val="21"/>
                    </w:rPr>
                  </w:pPr>
                </w:p>
              </w:tc>
              <w:tc>
                <w:tcPr>
                  <w:tcW w:w="2552" w:type="dxa"/>
                </w:tcPr>
                <w:p>
                  <w:pPr>
                    <w:keepNext w:val="0"/>
                    <w:keepLines w:val="0"/>
                    <w:suppressLineNumbers w:val="0"/>
                    <w:autoSpaceDE w:val="0"/>
                    <w:autoSpaceDN w:val="0"/>
                    <w:adjustRightInd w:val="0"/>
                    <w:spacing w:before="0" w:beforeAutospacing="0" w:after="0" w:afterAutospacing="0" w:line="0" w:lineRule="atLeast"/>
                    <w:ind w:left="720" w:right="-27"/>
                    <w:jc w:val="left"/>
                    <w:textAlignment w:val="baseline"/>
                    <w:rPr>
                      <w:rFonts w:hint="default" w:ascii="宋体" w:hAnsi="宋体"/>
                      <w:color w:val="000000"/>
                      <w:szCs w:val="21"/>
                    </w:rPr>
                  </w:pPr>
                </w:p>
              </w:tc>
              <w:tc>
                <w:tcPr>
                  <w:tcW w:w="1559" w:type="dxa"/>
                </w:tcPr>
                <w:p>
                  <w:pPr>
                    <w:keepNext w:val="0"/>
                    <w:keepLines w:val="0"/>
                    <w:suppressLineNumbers w:val="0"/>
                    <w:spacing w:before="0" w:beforeAutospacing="0" w:after="0" w:afterAutospacing="0"/>
                    <w:ind w:left="0" w:right="0"/>
                    <w:rPr>
                      <w:rFonts w:hint="default" w:ascii="宋体" w:hAnsi="宋体"/>
                      <w:color w:val="000000"/>
                      <w:szCs w:val="21"/>
                    </w:rPr>
                  </w:pPr>
                </w:p>
              </w:tc>
              <w:tc>
                <w:tcPr>
                  <w:tcW w:w="1134" w:type="dxa"/>
                </w:tcPr>
                <w:p>
                  <w:pPr>
                    <w:keepNext w:val="0"/>
                    <w:keepLines w:val="0"/>
                    <w:suppressLineNumbers w:val="0"/>
                    <w:spacing w:before="0" w:beforeAutospacing="0" w:after="0" w:afterAutospacing="0"/>
                    <w:ind w:left="0" w:right="0"/>
                    <w:rPr>
                      <w:rFonts w:hint="default" w:ascii="宋体" w:hAnsi="宋体" w:cs="宋体"/>
                      <w:szCs w:val="21"/>
                    </w:rPr>
                  </w:pPr>
                </w:p>
              </w:tc>
              <w:tc>
                <w:tcPr>
                  <w:tcW w:w="968"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w:t>
                  </w:r>
                </w:p>
              </w:tc>
            </w:tr>
          </w:tbl>
          <w:p>
            <w:pPr>
              <w:keepNext w:val="0"/>
              <w:keepLines w:val="0"/>
              <w:suppressLineNumbers w:val="0"/>
              <w:spacing w:before="0" w:beforeAutospacing="0" w:after="0" w:afterAutospacing="0"/>
              <w:ind w:left="0" w:right="0"/>
              <w:rPr>
                <w:rFonts w:hint="default"/>
                <w:szCs w:val="20"/>
              </w:rPr>
            </w:pPr>
          </w:p>
        </w:tc>
        <w:tc>
          <w:tcPr>
            <w:tcW w:w="1591"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gridSpan w:val="2"/>
            <w:vMerge w:val="restart"/>
          </w:tcPr>
          <w:p>
            <w:r>
              <w:rPr>
                <w:rFonts w:hint="eastAsia"/>
              </w:rPr>
              <w:t>持续改进</w:t>
            </w:r>
          </w:p>
        </w:tc>
        <w:tc>
          <w:tcPr>
            <w:tcW w:w="960" w:type="dxa"/>
            <w:gridSpan w:val="2"/>
            <w:vMerge w:val="restart"/>
          </w:tcPr>
          <w:p>
            <w:r>
              <w:rPr>
                <w:rFonts w:hint="eastAsia"/>
              </w:rPr>
              <w:t>F10.2</w:t>
            </w:r>
          </w:p>
        </w:tc>
        <w:tc>
          <w:tcPr>
            <w:tcW w:w="745" w:type="dxa"/>
          </w:tcPr>
          <w:p>
            <w:r>
              <w:rPr>
                <w:rFonts w:hint="eastAsia"/>
              </w:rPr>
              <w:t>文件名称</w:t>
            </w:r>
          </w:p>
        </w:tc>
        <w:tc>
          <w:tcPr>
            <w:tcW w:w="9255" w:type="dxa"/>
          </w:tcPr>
          <w:p>
            <w:r>
              <w:rPr>
                <w:rFonts w:hint="eastAsia"/>
              </w:rPr>
              <w:t>如：</w:t>
            </w:r>
            <w:r>
              <w:rPr>
                <w:rFonts w:hint="eastAsia"/>
              </w:rPr>
              <w:sym w:font="Wingdings" w:char="00FE"/>
            </w:r>
            <w:r>
              <w:rPr>
                <w:rFonts w:hint="eastAsia"/>
              </w:rPr>
              <w:t>管理手册10.2条款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Pr>
              <w:pStyle w:val="2"/>
            </w:pPr>
          </w:p>
          <w:p>
            <w:r>
              <w:rPr>
                <w:rFonts w:hint="eastAsia"/>
              </w:rPr>
              <w:sym w:font="Wingdings" w:char="00A8"/>
            </w:r>
            <w:r>
              <w:rPr>
                <w:rFonts w:hint="eastAsia"/>
              </w:rPr>
              <w:t xml:space="preserve"> 改进措施已落实</w:t>
            </w:r>
          </w:p>
          <w:p>
            <w:r>
              <w:rPr>
                <w:rFonts w:hint="eastAsia"/>
              </w:rPr>
              <w:sym w:font="Wingdings" w:char="00FE"/>
            </w:r>
            <w:r>
              <w:rPr>
                <w:rFonts w:hint="eastAsia"/>
              </w:rPr>
              <w:t xml:space="preserve"> 改进措施未落实的原因：</w:t>
            </w:r>
            <w:r>
              <w:rPr>
                <w:rFonts w:hint="eastAsia"/>
                <w:u w:val="single"/>
              </w:rPr>
              <w:t xml:space="preserve">    </w:t>
            </w:r>
            <w:r>
              <w:rPr>
                <w:rFonts w:hint="eastAsia"/>
                <w:u w:val="single"/>
                <w:lang w:val="en-US" w:eastAsia="zh-CN"/>
              </w:rPr>
              <w:t>计划2022年6月底前完成</w:t>
            </w:r>
            <w:r>
              <w:rPr>
                <w:rFonts w:hint="eastAsia"/>
                <w:u w:val="single"/>
              </w:rPr>
              <w:t xml:space="preserve">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5" w:type="dxa"/>
            <w:gridSpan w:val="3"/>
            <w:vMerge w:val="restart"/>
          </w:tcPr>
          <w:p>
            <w:r>
              <w:rPr>
                <w:rFonts w:hint="eastAsia"/>
              </w:rPr>
              <w:t>食品安全管理体系的更新</w:t>
            </w:r>
          </w:p>
          <w:p/>
        </w:tc>
        <w:tc>
          <w:tcPr>
            <w:tcW w:w="938" w:type="dxa"/>
            <w:vMerge w:val="restart"/>
          </w:tcPr>
          <w:p>
            <w:r>
              <w:rPr>
                <w:rFonts w:hint="eastAsia"/>
              </w:rPr>
              <w:t>F10.3</w:t>
            </w:r>
          </w:p>
        </w:tc>
        <w:tc>
          <w:tcPr>
            <w:tcW w:w="745" w:type="dxa"/>
          </w:tcPr>
          <w:p>
            <w:r>
              <w:rPr>
                <w:rFonts w:hint="eastAsia"/>
              </w:rPr>
              <w:t>文件名称</w:t>
            </w:r>
          </w:p>
        </w:tc>
        <w:tc>
          <w:tcPr>
            <w:tcW w:w="9255" w:type="dxa"/>
          </w:tcPr>
          <w:p>
            <w:r>
              <w:rPr>
                <w:rFonts w:hint="eastAsia"/>
              </w:rPr>
              <w:t>如：</w:t>
            </w:r>
            <w:r>
              <w:rPr>
                <w:rFonts w:hint="eastAsia"/>
              </w:rPr>
              <w:sym w:font="Wingdings" w:char="00FE"/>
            </w:r>
            <w:r>
              <w:rPr>
                <w:rFonts w:hint="eastAsia"/>
              </w:rPr>
              <w:t>管理手册10.3条款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85" w:type="dxa"/>
            <w:gridSpan w:val="3"/>
            <w:vMerge w:val="continue"/>
          </w:tcPr>
          <w:p/>
        </w:tc>
        <w:tc>
          <w:tcPr>
            <w:tcW w:w="938" w:type="dxa"/>
            <w:vMerge w:val="continue"/>
          </w:tcPr>
          <w:p/>
        </w:tc>
        <w:tc>
          <w:tcPr>
            <w:tcW w:w="745" w:type="dxa"/>
          </w:tcPr>
          <w:p>
            <w:r>
              <w:rPr>
                <w:rFonts w:hint="eastAsia"/>
              </w:rPr>
              <w:t>运行证据</w:t>
            </w:r>
          </w:p>
        </w:tc>
        <w:tc>
          <w:tcPr>
            <w:tcW w:w="9255"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审核周期内</w:t>
            </w:r>
            <w:r>
              <w:rPr>
                <w:rFonts w:hint="eastAsia"/>
                <w:u w:val="single"/>
              </w:rPr>
              <w:t xml:space="preserve">未发生     </w:t>
            </w:r>
            <w:r>
              <w:rPr>
                <w:rFonts w:hint="eastAsia"/>
              </w:rPr>
              <w:t xml:space="preserve"> </w:t>
            </w:r>
            <w:r>
              <w:t>，作为输入报告给管理评审。</w:t>
            </w:r>
          </w:p>
          <w:p/>
        </w:tc>
        <w:tc>
          <w:tcPr>
            <w:tcW w:w="1591" w:type="dxa"/>
            <w:vMerge w:val="continue"/>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-55245</wp:posOffset>
          </wp:positionH>
          <wp:positionV relativeFrom="paragraph">
            <wp:posOffset>-41275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80FCB"/>
    <w:multiLevelType w:val="singleLevel"/>
    <w:tmpl w:val="BAA80FCB"/>
    <w:lvl w:ilvl="0" w:tentative="0">
      <w:start w:val="1"/>
      <w:numFmt w:val="decimal"/>
      <w:suff w:val="space"/>
      <w:lvlText w:val="%1."/>
      <w:lvlJc w:val="left"/>
    </w:lvl>
  </w:abstractNum>
  <w:abstractNum w:abstractNumId="1">
    <w:nsid w:val="D9157FF7"/>
    <w:multiLevelType w:val="singleLevel"/>
    <w:tmpl w:val="D9157FF7"/>
    <w:lvl w:ilvl="0" w:tentative="0">
      <w:start w:val="1"/>
      <w:numFmt w:val="lowerLetter"/>
      <w:suff w:val="space"/>
      <w:lvlText w:val="%1)"/>
      <w:lvlJc w:val="left"/>
    </w:lvl>
  </w:abstractNum>
  <w:abstractNum w:abstractNumId="2">
    <w:nsid w:val="F28BE119"/>
    <w:multiLevelType w:val="singleLevel"/>
    <w:tmpl w:val="F28BE119"/>
    <w:lvl w:ilvl="0" w:tentative="0">
      <w:start w:val="1"/>
      <w:numFmt w:val="decimal"/>
      <w:suff w:val="space"/>
      <w:lvlText w:val="%1."/>
      <w:lvlJc w:val="left"/>
    </w:lvl>
  </w:abstractNum>
  <w:abstractNum w:abstractNumId="3">
    <w:nsid w:val="FEDED139"/>
    <w:multiLevelType w:val="singleLevel"/>
    <w:tmpl w:val="FEDED139"/>
    <w:lvl w:ilvl="0" w:tentative="0">
      <w:start w:val="1"/>
      <w:numFmt w:val="decimal"/>
      <w:suff w:val="nothing"/>
      <w:lvlText w:val="%1、"/>
      <w:lvlJc w:val="left"/>
    </w:lvl>
  </w:abstractNum>
  <w:abstractNum w:abstractNumId="4">
    <w:nsid w:val="19E194F9"/>
    <w:multiLevelType w:val="singleLevel"/>
    <w:tmpl w:val="19E194F9"/>
    <w:lvl w:ilvl="0" w:tentative="0">
      <w:start w:val="1"/>
      <w:numFmt w:val="lowerLetter"/>
      <w:lvlText w:val="%1)"/>
      <w:lvlJc w:val="left"/>
      <w:pPr>
        <w:tabs>
          <w:tab w:val="left" w:pos="312"/>
        </w:tabs>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1377F"/>
    <w:rsid w:val="000237F6"/>
    <w:rsid w:val="0003373A"/>
    <w:rsid w:val="000400E2"/>
    <w:rsid w:val="00053043"/>
    <w:rsid w:val="00062E46"/>
    <w:rsid w:val="00077C57"/>
    <w:rsid w:val="000E6B21"/>
    <w:rsid w:val="000E7D69"/>
    <w:rsid w:val="001037D1"/>
    <w:rsid w:val="00111EBB"/>
    <w:rsid w:val="001140D6"/>
    <w:rsid w:val="00126B2A"/>
    <w:rsid w:val="001A2D7F"/>
    <w:rsid w:val="001A336D"/>
    <w:rsid w:val="001F1502"/>
    <w:rsid w:val="00203518"/>
    <w:rsid w:val="0023692C"/>
    <w:rsid w:val="002805E0"/>
    <w:rsid w:val="002822F1"/>
    <w:rsid w:val="002939AD"/>
    <w:rsid w:val="002A7D96"/>
    <w:rsid w:val="002E061E"/>
    <w:rsid w:val="002E5925"/>
    <w:rsid w:val="00304BD2"/>
    <w:rsid w:val="00314AF6"/>
    <w:rsid w:val="00332DD3"/>
    <w:rsid w:val="00334BC0"/>
    <w:rsid w:val="003359ED"/>
    <w:rsid w:val="00337922"/>
    <w:rsid w:val="00340867"/>
    <w:rsid w:val="00380837"/>
    <w:rsid w:val="003A198A"/>
    <w:rsid w:val="00410914"/>
    <w:rsid w:val="0042042C"/>
    <w:rsid w:val="00454842"/>
    <w:rsid w:val="00477A20"/>
    <w:rsid w:val="0048201E"/>
    <w:rsid w:val="0048635A"/>
    <w:rsid w:val="0049215F"/>
    <w:rsid w:val="004B2B8D"/>
    <w:rsid w:val="004E753A"/>
    <w:rsid w:val="005203B8"/>
    <w:rsid w:val="00531A59"/>
    <w:rsid w:val="00536930"/>
    <w:rsid w:val="00542263"/>
    <w:rsid w:val="00564E53"/>
    <w:rsid w:val="00571451"/>
    <w:rsid w:val="005B7968"/>
    <w:rsid w:val="005C6B53"/>
    <w:rsid w:val="005D5659"/>
    <w:rsid w:val="005E2DC1"/>
    <w:rsid w:val="005F0777"/>
    <w:rsid w:val="00600C20"/>
    <w:rsid w:val="00644FE2"/>
    <w:rsid w:val="00651ED1"/>
    <w:rsid w:val="00660E47"/>
    <w:rsid w:val="00663F71"/>
    <w:rsid w:val="0067640C"/>
    <w:rsid w:val="00691D92"/>
    <w:rsid w:val="006D7C48"/>
    <w:rsid w:val="006E678B"/>
    <w:rsid w:val="006E7B1D"/>
    <w:rsid w:val="0070341D"/>
    <w:rsid w:val="00705D46"/>
    <w:rsid w:val="00714E0C"/>
    <w:rsid w:val="007757F3"/>
    <w:rsid w:val="00782A29"/>
    <w:rsid w:val="007860F5"/>
    <w:rsid w:val="007C1B48"/>
    <w:rsid w:val="007E3B15"/>
    <w:rsid w:val="007E6AEB"/>
    <w:rsid w:val="008630EE"/>
    <w:rsid w:val="008973EE"/>
    <w:rsid w:val="008C05BC"/>
    <w:rsid w:val="008C60FD"/>
    <w:rsid w:val="0090032F"/>
    <w:rsid w:val="00910EB7"/>
    <w:rsid w:val="00920906"/>
    <w:rsid w:val="00923731"/>
    <w:rsid w:val="009315A7"/>
    <w:rsid w:val="009344FA"/>
    <w:rsid w:val="00971600"/>
    <w:rsid w:val="009734AB"/>
    <w:rsid w:val="0097671F"/>
    <w:rsid w:val="009973B4"/>
    <w:rsid w:val="009C28C1"/>
    <w:rsid w:val="009D0D15"/>
    <w:rsid w:val="009E7642"/>
    <w:rsid w:val="009F7EED"/>
    <w:rsid w:val="00A01D85"/>
    <w:rsid w:val="00A109EE"/>
    <w:rsid w:val="00A23E2B"/>
    <w:rsid w:val="00A353D5"/>
    <w:rsid w:val="00A74916"/>
    <w:rsid w:val="00A80636"/>
    <w:rsid w:val="00A80E58"/>
    <w:rsid w:val="00AA4BB0"/>
    <w:rsid w:val="00AB1C1D"/>
    <w:rsid w:val="00AC2E27"/>
    <w:rsid w:val="00AF0AAB"/>
    <w:rsid w:val="00B50FD7"/>
    <w:rsid w:val="00B646E3"/>
    <w:rsid w:val="00B64A32"/>
    <w:rsid w:val="00B801A2"/>
    <w:rsid w:val="00B82D4A"/>
    <w:rsid w:val="00B93797"/>
    <w:rsid w:val="00BA5DC8"/>
    <w:rsid w:val="00BB07DF"/>
    <w:rsid w:val="00BE5F33"/>
    <w:rsid w:val="00BF597E"/>
    <w:rsid w:val="00C03A49"/>
    <w:rsid w:val="00C37C31"/>
    <w:rsid w:val="00C51A36"/>
    <w:rsid w:val="00C55228"/>
    <w:rsid w:val="00C5533A"/>
    <w:rsid w:val="00C63768"/>
    <w:rsid w:val="00C65F2B"/>
    <w:rsid w:val="00C96ED9"/>
    <w:rsid w:val="00CD71D8"/>
    <w:rsid w:val="00CE2E76"/>
    <w:rsid w:val="00CE315A"/>
    <w:rsid w:val="00CF1517"/>
    <w:rsid w:val="00D06F59"/>
    <w:rsid w:val="00D708B1"/>
    <w:rsid w:val="00D71355"/>
    <w:rsid w:val="00D75176"/>
    <w:rsid w:val="00D8388C"/>
    <w:rsid w:val="00DC055B"/>
    <w:rsid w:val="00DD3530"/>
    <w:rsid w:val="00DE720A"/>
    <w:rsid w:val="00E120F4"/>
    <w:rsid w:val="00E25E5F"/>
    <w:rsid w:val="00E6224C"/>
    <w:rsid w:val="00E65C8F"/>
    <w:rsid w:val="00EB0164"/>
    <w:rsid w:val="00EB2D1A"/>
    <w:rsid w:val="00EC57BB"/>
    <w:rsid w:val="00EC66B3"/>
    <w:rsid w:val="00ED0F62"/>
    <w:rsid w:val="00F2198C"/>
    <w:rsid w:val="00F43A54"/>
    <w:rsid w:val="00F441AF"/>
    <w:rsid w:val="00F56D22"/>
    <w:rsid w:val="00F7499A"/>
    <w:rsid w:val="00F95ED9"/>
    <w:rsid w:val="00FD0A8E"/>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5FE5D86"/>
    <w:rsid w:val="0605101B"/>
    <w:rsid w:val="061B4460"/>
    <w:rsid w:val="065A01DF"/>
    <w:rsid w:val="067B702D"/>
    <w:rsid w:val="06994A8D"/>
    <w:rsid w:val="06AA7E97"/>
    <w:rsid w:val="06ED612A"/>
    <w:rsid w:val="08274F37"/>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CFF24BA"/>
    <w:rsid w:val="0D181113"/>
    <w:rsid w:val="0D1E4D9B"/>
    <w:rsid w:val="0D4D1326"/>
    <w:rsid w:val="0D6A2C36"/>
    <w:rsid w:val="0DB35CC0"/>
    <w:rsid w:val="0E49595F"/>
    <w:rsid w:val="0EB8524B"/>
    <w:rsid w:val="0F86648B"/>
    <w:rsid w:val="0F9C35C1"/>
    <w:rsid w:val="0FEB1156"/>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C64A64"/>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D09C2"/>
    <w:rsid w:val="1ACF1254"/>
    <w:rsid w:val="1AED5B63"/>
    <w:rsid w:val="1B462375"/>
    <w:rsid w:val="1B5E3B97"/>
    <w:rsid w:val="1C392A3A"/>
    <w:rsid w:val="1C6465C0"/>
    <w:rsid w:val="1CB1322F"/>
    <w:rsid w:val="1D0723A1"/>
    <w:rsid w:val="1D3F332D"/>
    <w:rsid w:val="1D4D4A00"/>
    <w:rsid w:val="1DC4038A"/>
    <w:rsid w:val="1DF36090"/>
    <w:rsid w:val="1DFE25B1"/>
    <w:rsid w:val="1E511FFA"/>
    <w:rsid w:val="1E752FA2"/>
    <w:rsid w:val="1E99368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A616A9"/>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5B02BA9"/>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AC5760"/>
    <w:rsid w:val="2BD60481"/>
    <w:rsid w:val="2BEA3FA7"/>
    <w:rsid w:val="2C2E44D4"/>
    <w:rsid w:val="2C7B6C71"/>
    <w:rsid w:val="2D357F0D"/>
    <w:rsid w:val="2D4E604F"/>
    <w:rsid w:val="2D5C2AB0"/>
    <w:rsid w:val="2D7A20E6"/>
    <w:rsid w:val="2DC57805"/>
    <w:rsid w:val="2DC801AD"/>
    <w:rsid w:val="2DDF08DF"/>
    <w:rsid w:val="2DFF79D8"/>
    <w:rsid w:val="2E367C56"/>
    <w:rsid w:val="2E440885"/>
    <w:rsid w:val="2EEE512C"/>
    <w:rsid w:val="2F511B05"/>
    <w:rsid w:val="2F7C571D"/>
    <w:rsid w:val="2FA86B66"/>
    <w:rsid w:val="2FE823A5"/>
    <w:rsid w:val="2FEA1C57"/>
    <w:rsid w:val="300172B8"/>
    <w:rsid w:val="3009556D"/>
    <w:rsid w:val="30945277"/>
    <w:rsid w:val="30C71DD4"/>
    <w:rsid w:val="30DC7CB1"/>
    <w:rsid w:val="30ED30CC"/>
    <w:rsid w:val="31064141"/>
    <w:rsid w:val="31B477DB"/>
    <w:rsid w:val="31B67BE2"/>
    <w:rsid w:val="31CA71DD"/>
    <w:rsid w:val="324E5138"/>
    <w:rsid w:val="325251B2"/>
    <w:rsid w:val="32A772DD"/>
    <w:rsid w:val="331E21CE"/>
    <w:rsid w:val="33562A0D"/>
    <w:rsid w:val="33715F28"/>
    <w:rsid w:val="33F07155"/>
    <w:rsid w:val="340C6245"/>
    <w:rsid w:val="343C4522"/>
    <w:rsid w:val="347A0336"/>
    <w:rsid w:val="34F92D63"/>
    <w:rsid w:val="35527F1F"/>
    <w:rsid w:val="357914C0"/>
    <w:rsid w:val="35977CF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3F701801"/>
    <w:rsid w:val="40075616"/>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834851"/>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85389F"/>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DF3F44"/>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A13904"/>
    <w:rsid w:val="59D37462"/>
    <w:rsid w:val="59E42114"/>
    <w:rsid w:val="59E710C8"/>
    <w:rsid w:val="59F34F80"/>
    <w:rsid w:val="5A1C59A1"/>
    <w:rsid w:val="5A386EB4"/>
    <w:rsid w:val="5A407674"/>
    <w:rsid w:val="5A432974"/>
    <w:rsid w:val="5A6A20C5"/>
    <w:rsid w:val="5AD64AF2"/>
    <w:rsid w:val="5AF23288"/>
    <w:rsid w:val="5B544EB3"/>
    <w:rsid w:val="5B6A33DD"/>
    <w:rsid w:val="5BBF36FA"/>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6F54FE"/>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D9B1357"/>
    <w:rsid w:val="6E641038"/>
    <w:rsid w:val="6EBD0EA6"/>
    <w:rsid w:val="6F435405"/>
    <w:rsid w:val="6F4810D8"/>
    <w:rsid w:val="6F6D2BAA"/>
    <w:rsid w:val="6F8F1120"/>
    <w:rsid w:val="6F9A4A47"/>
    <w:rsid w:val="6FD909A9"/>
    <w:rsid w:val="701710D0"/>
    <w:rsid w:val="70607590"/>
    <w:rsid w:val="70795456"/>
    <w:rsid w:val="709946EC"/>
    <w:rsid w:val="70B04FD5"/>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174057"/>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C41AB2"/>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7003</Words>
  <Characters>7477</Characters>
  <Lines>74</Lines>
  <Paragraphs>21</Paragraphs>
  <TotalTime>1</TotalTime>
  <ScaleCrop>false</ScaleCrop>
  <LinksUpToDate>false</LinksUpToDate>
  <CharactersWithSpaces>8649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2022-05-14T15:57:05Z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49BECC4BCA164B81BE870CF712344446</vt:lpwstr>
  </property>
</Properties>
</file>