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4"/>
        <w:gridCol w:w="926"/>
        <w:gridCol w:w="8"/>
        <w:gridCol w:w="745"/>
        <w:gridCol w:w="9"/>
        <w:gridCol w:w="9248"/>
        <w:gridCol w:w="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品控部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负责人：李梦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陪同人员：刘素珍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2-05-10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pStyle w:val="11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审核条款：FSMS:5.3/6.2/8.5.4</w:t>
            </w:r>
            <w:r>
              <w:rPr>
                <w:rFonts w:hint="eastAsia"/>
                <w:highlight w:val="none"/>
                <w:lang w:val="en-US" w:eastAsia="zh-CN"/>
              </w:rPr>
              <w:t>.5/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8.7/8.9.1-8.9.4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gridSpan w:val="2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66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负责参与制定食品安全检验标准、检验项目，并进行监督实施，负责对进料、食品分拣实施控制检验，组织对食品销售或原料异常进行处理，负责监视和测量设备管理，负责参与客户投诉处理等工作。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经询问了解，审核周期内未发生变化。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管理目标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266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抽取本部门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0"/>
              <w:gridCol w:w="3153"/>
              <w:gridCol w:w="1078"/>
              <w:gridCol w:w="21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50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15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  <w:lang w:val="en-US" w:eastAsia="zh-CN"/>
                    </w:rPr>
                    <w:t>2021.06-2022.03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出厂产品合格率100%</w:t>
                  </w:r>
                </w:p>
              </w:tc>
              <w:tc>
                <w:tcPr>
                  <w:tcW w:w="3153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078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品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控</w:t>
                  </w:r>
                  <w:r>
                    <w:rPr>
                      <w:rFonts w:hint="eastAsia"/>
                      <w:szCs w:val="22"/>
                    </w:rPr>
                    <w:t>部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不发生重大质量安全事故</w:t>
                  </w:r>
                </w:p>
              </w:tc>
              <w:tc>
                <w:tcPr>
                  <w:tcW w:w="3153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107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2"/>
                    </w:rPr>
                    <w:t>品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控</w:t>
                  </w:r>
                  <w:r>
                    <w:rPr>
                      <w:rFonts w:hint="eastAsia"/>
                      <w:szCs w:val="22"/>
                    </w:rPr>
                    <w:t>部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3153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1078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  <w:lang w:val="en-GB"/>
                    </w:rPr>
                  </w:pPr>
                  <w:r>
                    <w:rPr>
                      <w:rFonts w:hint="eastAsia"/>
                      <w:szCs w:val="22"/>
                    </w:rPr>
                    <w:t>品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控</w:t>
                  </w:r>
                  <w:r>
                    <w:rPr>
                      <w:rFonts w:hint="eastAsia"/>
                      <w:szCs w:val="22"/>
                    </w:rPr>
                    <w:t>部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 xml:space="preserve">目标完成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34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手册8.5条款、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HACCP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OPRP计划/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HACCP计划</w:t>
            </w:r>
            <w:r>
              <w:rPr>
                <w:rFonts w:hint="eastAsia" w:ascii="宋体" w:hAnsi="宋体" w:cs="宋体"/>
                <w:highlight w:val="none"/>
              </w:rPr>
              <w:t>的策划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，</w:t>
            </w:r>
            <w:r>
              <w:rPr>
                <w:rFonts w:hint="eastAsia" w:ascii="宋体" w:hAnsi="宋体" w:cs="宋体"/>
                <w:highlight w:val="none"/>
              </w:rPr>
              <w:t>见食品安全小组审核记录F</w:t>
            </w:r>
            <w:r>
              <w:rPr>
                <w:rFonts w:ascii="宋体" w:hAnsi="宋体" w:cs="宋体"/>
                <w:highlight w:val="none"/>
              </w:rPr>
              <w:t>8.5.4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833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677"/>
              <w:gridCol w:w="1878"/>
              <w:gridCol w:w="2325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87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232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top"/>
                </w:tcPr>
                <w:p>
                  <w:pPr>
                    <w:spacing w:line="22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OPRP：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畜禽肉类原料采购验收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分拣大厅</w:t>
                  </w:r>
                </w:p>
              </w:tc>
              <w:tc>
                <w:tcPr>
                  <w:tcW w:w="1677" w:type="dxa"/>
                </w:tcPr>
                <w:p>
                  <w:pPr>
                    <w:spacing w:line="22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来自合格供方；</w:t>
                  </w:r>
                </w:p>
                <w:p>
                  <w:pPr>
                    <w:spacing w:line="22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动物检疫证明；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合格的产品检测报告</w:t>
                  </w:r>
                </w:p>
              </w:tc>
              <w:tc>
                <w:tcPr>
                  <w:tcW w:w="1878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《公司配送中心(进货验收/分检记录)》</w:t>
                  </w:r>
                </w:p>
              </w:tc>
              <w:tc>
                <w:tcPr>
                  <w:tcW w:w="2325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，合格供方情况见F7.1.6条款；2022-05-10 采购验收猪肉，提供有肉品品质合格证明【编号（2022）00983054】以及分销凭证编号【022192667】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OPRP ：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冷冻水产类的验收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分拣大厅</w:t>
                  </w:r>
                </w:p>
              </w:tc>
              <w:tc>
                <w:tcPr>
                  <w:tcW w:w="1677" w:type="dxa"/>
                  <w:vAlign w:val="top"/>
                </w:tcPr>
                <w:p>
                  <w:pPr>
                    <w:spacing w:line="22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来自合格供方；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深海水产温度＜-18℃</w:t>
                  </w:r>
                </w:p>
              </w:tc>
              <w:tc>
                <w:tcPr>
                  <w:tcW w:w="1878" w:type="dxa"/>
                  <w:vAlign w:val="top"/>
                </w:tcPr>
                <w:p>
                  <w:pPr>
                    <w:spacing w:line="2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《公司配送中心(进货验收/分检记录)》</w:t>
                  </w:r>
                </w:p>
              </w:tc>
              <w:tc>
                <w:tcPr>
                  <w:tcW w:w="2325" w:type="dxa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审核周期内受疫情影响，未采购验收此类产品，主要有少量鲜活明虾产品，下次审核关注</w:t>
                  </w:r>
                </w:p>
              </w:tc>
              <w:tc>
                <w:tcPr>
                  <w:tcW w:w="9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</w:tbl>
          <w:p>
            <w:pPr>
              <w:pStyle w:val="11"/>
              <w:rPr>
                <w:rFonts w:hint="eastAsia"/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3" w:type="dxa"/>
            <w:gridSpan w:val="3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26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271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pStyle w:val="11"/>
            </w:pPr>
          </w:p>
          <w:p>
            <w:pPr>
              <w:pStyle w:val="11"/>
            </w:pPr>
          </w:p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83" w:type="dxa"/>
            <w:gridSpan w:val="3"/>
            <w:vMerge w:val="continue"/>
          </w:tcPr>
          <w:p/>
        </w:tc>
        <w:tc>
          <w:tcPr>
            <w:tcW w:w="926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高压灭菌锅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恒温培养箱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农残快速检测仪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 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监视系统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常规监控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查看《检验设备清单》，抽查外部检定或校准情况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随机抽查：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2275"/>
              <w:gridCol w:w="1824"/>
              <w:gridCol w:w="25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color w:val="0D0D0D" w:themeColor="text1" w:themeTint="F2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824" w:type="dxa"/>
                </w:tcPr>
                <w:p>
                  <w:pPr>
                    <w:rPr>
                      <w:color w:val="0D0D0D" w:themeColor="text1" w:themeTint="F2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校准日期</w:t>
                  </w:r>
                </w:p>
              </w:tc>
              <w:tc>
                <w:tcPr>
                  <w:tcW w:w="255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多功能食品安全检测仪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（TMYQ-816）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22RA012250001</w:t>
                  </w:r>
                </w:p>
              </w:tc>
              <w:tc>
                <w:tcPr>
                  <w:tcW w:w="1824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2022年5月9日</w:t>
                  </w:r>
                </w:p>
              </w:tc>
              <w:tc>
                <w:tcPr>
                  <w:tcW w:w="2550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仓库    </w:t>
                  </w: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化验室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电子台秤</w:t>
                  </w: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（TCS-150）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22RA012250002</w:t>
                  </w:r>
                </w:p>
              </w:tc>
              <w:tc>
                <w:tcPr>
                  <w:tcW w:w="18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2022年5月9日</w:t>
                  </w:r>
                </w:p>
              </w:tc>
              <w:tc>
                <w:tcPr>
                  <w:tcW w:w="25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分拣大厅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化验室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中心温度计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 xml:space="preserve"> 22RA012250004 </w:t>
                  </w:r>
                </w:p>
              </w:tc>
              <w:tc>
                <w:tcPr>
                  <w:tcW w:w="18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2022年5月9日</w:t>
                  </w:r>
                </w:p>
              </w:tc>
              <w:tc>
                <w:tcPr>
                  <w:tcW w:w="25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分拣大厅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化验室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8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仓库   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仓库   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车间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2859"/>
              <w:gridCol w:w="1791"/>
              <w:gridCol w:w="2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85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179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冷藏库</w:t>
                  </w:r>
                </w:p>
              </w:tc>
              <w:tc>
                <w:tcPr>
                  <w:tcW w:w="28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未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提供温度表校准/比对</w:t>
                  </w:r>
                  <w:r>
                    <w:rPr>
                      <w:rFonts w:hint="eastAsia"/>
                      <w:color w:val="FF0000"/>
                    </w:rPr>
                    <w:t>证据</w:t>
                  </w:r>
                </w:p>
              </w:tc>
              <w:tc>
                <w:tcPr>
                  <w:tcW w:w="179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分拣大厅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7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冷冻库</w:t>
                  </w:r>
                </w:p>
              </w:tc>
              <w:tc>
                <w:tcPr>
                  <w:tcW w:w="28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未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提供温度表校准/比对</w:t>
                  </w:r>
                  <w:r>
                    <w:rPr>
                      <w:rFonts w:hint="eastAsia"/>
                      <w:color w:val="FF0000"/>
                    </w:rPr>
                    <w:t>证据</w:t>
                  </w:r>
                </w:p>
              </w:tc>
              <w:tc>
                <w:tcPr>
                  <w:tcW w:w="179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分拣大厅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59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9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</w:t>
            </w:r>
            <w:r>
              <w:rPr>
                <w:rFonts w:hint="eastAsia"/>
              </w:rPr>
              <w:t>控制程序》</w:t>
            </w:r>
          </w:p>
          <w:p/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或总经理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《纠正和预防措施控制程序》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29"/>
              <w:gridCol w:w="1570"/>
              <w:gridCol w:w="1601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29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57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01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近一年以来</w:t>
                  </w: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《纠正和预防措施控制程序》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 xml:space="preserve">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3" w:type="dxa"/>
            <w:gridSpan w:val="3"/>
            <w:vMerge w:val="restart"/>
          </w:tcPr>
          <w:p>
            <w:r>
              <w:t>放行的评价</w:t>
            </w:r>
          </w:p>
        </w:tc>
        <w:tc>
          <w:tcPr>
            <w:tcW w:w="926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索证、感官检查、农残自测、来自合格供方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感官、重量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感官、重量、外包装完好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/>
        </w:tc>
        <w:tc>
          <w:tcPr>
            <w:tcW w:w="127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83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26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4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>《公司配送中心(进货验收/分检记录)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1"/>
              <w:gridCol w:w="1389"/>
              <w:gridCol w:w="911"/>
              <w:gridCol w:w="1367"/>
              <w:gridCol w:w="228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28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2022-05-09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湫湖米</w:t>
                  </w:r>
                </w:p>
              </w:tc>
              <w:tc>
                <w:tcPr>
                  <w:tcW w:w="91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感官、数量：外包装完好</w:t>
                  </w:r>
                </w:p>
              </w:tc>
              <w:tc>
                <w:tcPr>
                  <w:tcW w:w="2289" w:type="dxa"/>
                  <w:vAlign w:val="center"/>
                </w:tcPr>
                <w:p>
                  <w:pPr>
                    <w:pStyle w:val="11"/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数量：50袋，外包装完好；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2021-12-01</w:t>
                  </w:r>
                </w:p>
              </w:tc>
              <w:tc>
                <w:tcPr>
                  <w:tcW w:w="13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  <w:t>山西陈醋</w:t>
                  </w: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感官、数量：外包装完好</w:t>
                  </w:r>
                </w:p>
              </w:tc>
              <w:tc>
                <w:tcPr>
                  <w:tcW w:w="2289" w:type="dxa"/>
                  <w:vAlign w:val="center"/>
                </w:tcPr>
                <w:p>
                  <w:pPr>
                    <w:pStyle w:val="11"/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数量：24瓶，外包装完好；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2021-12-14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香满园葵花籽油</w:t>
                  </w: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感官、数量：外包装完好</w:t>
                  </w:r>
                </w:p>
              </w:tc>
              <w:tc>
                <w:tcPr>
                  <w:tcW w:w="2289" w:type="dxa"/>
                  <w:vAlign w:val="center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数量：51瓶，外包装完好；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2022-01-03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海天生抽、海天老抽</w:t>
                  </w: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感官、数量：外包装完好</w:t>
                  </w:r>
                </w:p>
              </w:tc>
              <w:tc>
                <w:tcPr>
                  <w:tcW w:w="2289" w:type="dxa"/>
                  <w:vAlign w:val="center"/>
                </w:tcPr>
                <w:p>
                  <w:pPr>
                    <w:pStyle w:val="11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海天生抽数量：25瓶、海天老抽：15瓶，外包装完好；祖名白干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2022-03-11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祖名白干、内豆腐、香干</w:t>
                  </w: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感官、数量：外包装完好</w:t>
                  </w:r>
                </w:p>
              </w:tc>
              <w:tc>
                <w:tcPr>
                  <w:tcW w:w="2289" w:type="dxa"/>
                  <w:vAlign w:val="center"/>
                </w:tcPr>
                <w:p>
                  <w:pPr>
                    <w:pStyle w:val="11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数量符合订单要求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分拣过程主要通过感官检查、核对订单产品信息及数量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579"/>
              <w:gridCol w:w="166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6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11"/>
              <w:rPr>
                <w:rFonts w:hint="eastAsia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11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1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主要通过客户接收订单为主，抽取销货单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tbl>
            <w:tblPr>
              <w:tblStyle w:val="9"/>
              <w:tblW w:w="90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1590"/>
              <w:gridCol w:w="769"/>
              <w:gridCol w:w="1780"/>
              <w:gridCol w:w="1760"/>
              <w:gridCol w:w="1090"/>
              <w:gridCol w:w="13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7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7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0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配送车辆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客户名称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2022-01-10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手工芋艿、净大白菜、腊笋、净包菜</w:t>
                  </w:r>
                </w:p>
              </w:tc>
              <w:tc>
                <w:tcPr>
                  <w:tcW w:w="76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78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感官完好，数量符合订单要求</w:t>
                  </w:r>
                </w:p>
              </w:tc>
              <w:tc>
                <w:tcPr>
                  <w:tcW w:w="176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手工芋艿：140斤、净大白菜：160斤、腊笋90斤、净包菜110斤</w:t>
                  </w:r>
                </w:p>
              </w:tc>
              <w:tc>
                <w:tcPr>
                  <w:tcW w:w="109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  <w:t>浙AN03Y6</w:t>
                  </w:r>
                </w:p>
              </w:tc>
              <w:tc>
                <w:tcPr>
                  <w:tcW w:w="1346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大同初级中学食堂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2022-03-01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江苏秋湖珍珠米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海天老抽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白糖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7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感官完好，数量符合订单要求</w:t>
                  </w: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江苏秋湖珍珠米：100袋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海天老抽：1箱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白糖：20斤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浙AN03Y6</w:t>
                  </w: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大同初级中学食堂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1"/>
              <w:ind w:firstLine="460" w:firstLineChars="2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同时抽取：2022-05-06/2022-05-07，2022-01-04，2021-12-23日的销货单，客户签收，无异常；</w:t>
            </w:r>
          </w:p>
          <w:p>
            <w:pPr>
              <w:pStyle w:val="11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208"/>
              <w:gridCol w:w="1743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83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26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248" w:type="dxa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☑符合  □不符合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不符合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主要以感官检验为主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</w:t>
            </w:r>
            <w:r>
              <w:rPr>
                <w:rFonts w:hint="eastAsia"/>
              </w:rPr>
              <w:t>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>《   ——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>《     ——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>《    ——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抽取出售后不合格成品处置相关记录：名称：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>《   ——    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经沟通了解有配送到客户手中的土豆，在加工时发现烂心；客户反馈及时给予补货，但未保留记录，已现场沟通；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74"/>
              <w:gridCol w:w="1778"/>
              <w:gridCol w:w="2978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4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17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7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474" w:type="dxa"/>
                </w:tcPr>
                <w:p/>
              </w:tc>
              <w:tc>
                <w:tcPr>
                  <w:tcW w:w="1778" w:type="dxa"/>
                </w:tcPr>
                <w:p/>
              </w:tc>
              <w:tc>
                <w:tcPr>
                  <w:tcW w:w="2978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7"/>
              <w:gridCol w:w="1970"/>
              <w:gridCol w:w="3143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7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检查对不合格原材料的存放和标识情况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现场无不合格产品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检查对不合格半成品的存放和标识情况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检查对不合格成品的存放和标识情况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</w:t>
            </w:r>
            <w:r>
              <w:rPr>
                <w:rFonts w:hint="eastAsia"/>
              </w:rPr>
              <w:t>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>《   ——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>《     ——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>《    ——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抽取出售后不合格成品处置相关记录：名称：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>《   ——    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经沟通了解有配送到客户手中的土豆，在加工时发现烂心；客户反馈及时给予补货，但未保留记录，已现场沟通；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74"/>
              <w:gridCol w:w="1778"/>
              <w:gridCol w:w="2978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4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17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7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474" w:type="dxa"/>
                </w:tcPr>
                <w:p/>
              </w:tc>
              <w:tc>
                <w:tcPr>
                  <w:tcW w:w="1778" w:type="dxa"/>
                </w:tcPr>
                <w:p/>
              </w:tc>
              <w:tc>
                <w:tcPr>
                  <w:tcW w:w="2978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7"/>
              <w:gridCol w:w="1970"/>
              <w:gridCol w:w="3143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7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检查对不合格原材料的存放和标识情况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现场无不合格产品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检查对不合格半成品的存放和标识情况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检查对不合格成品的存放和标识情况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</w:tbl>
    <w:p>
      <w:pPr>
        <w:pStyle w:val="6"/>
      </w:pPr>
    </w:p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 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 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384FA8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35455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1DE5AD0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C02A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26711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6E1487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4064D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5139</Words>
  <Characters>5581</Characters>
  <Lines>90</Lines>
  <Paragraphs>25</Paragraphs>
  <TotalTime>10</TotalTime>
  <ScaleCrop>false</ScaleCrop>
  <LinksUpToDate>false</LinksUpToDate>
  <CharactersWithSpaces>6359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2022-05-15T06:57:10Z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F0909AD7210F4E5A8E50045B5468BE66</vt:lpwstr>
  </property>
</Properties>
</file>