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982"/>
        <w:gridCol w:w="181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河北会有环保科技有限公司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18.08.00;19.05.01;29.01.01;29.11.05;29.12.00;33.02.02;33.02.04;34.06.00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彭龙龙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19.05.01,33.02.02,33.02.04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环保设备的运营、维护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业务洽谈—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服务要求评审</w:t>
            </w:r>
            <w:r>
              <w:rPr>
                <w:rFonts w:hint="eastAsia"/>
                <w:sz w:val="21"/>
                <w:szCs w:val="21"/>
              </w:rPr>
              <w:t>—签订合同—按要求履约服务——顾客确认——结算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环保产品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计算机软件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技术研发咨询服务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顾客要求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方案设计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开发（架构设计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/数据库设计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编码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测试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现场调试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关键过程：顾客需求分析；需确认过程：设备维护、软件开发、咨询/技术服务，主要控制指标、性能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GB/T8567-2006《计算机软件文档编制规范》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GB/T9385-2008《计算机软件需求说明编制指南》、GB/T9386-2008《计算机软件测试文件编制规范》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HJ 75-2017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固定污染源烟气排放连续监测技术规范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</w:rPr>
              <w:t>HJ 76-2017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固定污染源烟气（SO2、NOx、颗粒物）排放连续监测系统技术要求及检测方法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218440</wp:posOffset>
                  </wp:positionV>
                  <wp:extent cx="635000" cy="336550"/>
                  <wp:effectExtent l="0" t="0" r="0" b="635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41275</wp:posOffset>
                  </wp:positionV>
                  <wp:extent cx="1069340" cy="514985"/>
                  <wp:effectExtent l="0" t="0" r="0" b="0"/>
                  <wp:wrapNone/>
                  <wp:docPr id="4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982"/>
        <w:gridCol w:w="181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河北会有环保科技有限公司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18.08.00;19.05.01;29.01.01;29.11.05;29.12.00;33.02.02;33.02.04;34.06.00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彭龙龙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19.05.01,33.02.02,33.02.04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环保设备的运营、维护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业务洽谈—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服务要求评审</w:t>
            </w:r>
            <w:r>
              <w:rPr>
                <w:rFonts w:hint="eastAsia"/>
                <w:sz w:val="21"/>
                <w:szCs w:val="21"/>
              </w:rPr>
              <w:t>—签订合同—按要求履约服务——顾客确认——结算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环保产品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计算机软件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技术研发咨询服务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顾客要求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方案设计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开发（架构设计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/数据库设计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编码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测试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现场调试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固废排放、火灾事故的发生，环境安全运行控制程序、废弃物控制程序、应急准备和响应控制程序、应急预案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环境保护法、</w:t>
            </w:r>
            <w:r>
              <w:rPr>
                <w:rFonts w:hint="eastAsia"/>
                <w:color w:val="auto"/>
                <w:sz w:val="21"/>
                <w:szCs w:val="21"/>
              </w:rPr>
              <w:t>GB/T8567-2006《计算机软件文档编制规范》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GB/T9385-2008《计算机软件需求说明编制指南》、GB/T9386-2008《计算机软件测试文件编制规范》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HJ 75-2017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固定污染源烟气排放连续监测技术规范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</w:rPr>
              <w:t>HJ 76-2017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固定污染源烟气（SO2、NOx、颗粒物）排放连续监测系统技术要求及检测方法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</w:rPr>
              <w:t>GB 3095-2012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环境空气质量标准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207010</wp:posOffset>
                  </wp:positionV>
                  <wp:extent cx="635000" cy="336550"/>
                  <wp:effectExtent l="0" t="0" r="0" b="635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52070</wp:posOffset>
                  </wp:positionV>
                  <wp:extent cx="1069340" cy="514985"/>
                  <wp:effectExtent l="0" t="0" r="0" b="0"/>
                  <wp:wrapNone/>
                  <wp:docPr id="3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191"/>
        <w:gridCol w:w="1855"/>
        <w:gridCol w:w="1467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河北会有环保科技有限公司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18.08.00;19.05.01;29.01.01;29.11.05;29.12.00;33.02.02;33.02.04;34.06.00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彭龙龙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19.05.01,33.02.02,33.02.04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环保设备的运营、维护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业务洽谈—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服务要求评审</w:t>
            </w:r>
            <w:r>
              <w:rPr>
                <w:rFonts w:hint="eastAsia"/>
                <w:sz w:val="21"/>
                <w:szCs w:val="21"/>
              </w:rPr>
              <w:t>—签订合同—按要求履约服务——顾客确认——结算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环保产品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计算机软件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技术研发咨询服务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顾客要求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方案设计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开发（架构设计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/数据库设计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编码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测试</w:t>
            </w:r>
            <w:r>
              <w:rPr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现场调试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auto"/>
                <w:sz w:val="21"/>
                <w:szCs w:val="21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火灾、触电，环境安全运行控制程序、应急准备和响应控制程序、应急预案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民法典、传染病防治法、消防法、</w:t>
            </w:r>
            <w:r>
              <w:rPr>
                <w:rFonts w:hint="eastAsia"/>
                <w:color w:val="auto"/>
                <w:sz w:val="21"/>
                <w:szCs w:val="21"/>
              </w:rPr>
              <w:t>GB/T8567-2006《计算机软件文档编制规范》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GB/T9385-2008《计算机软件需求说明编制指南》、GB/T9386-2008《计算机软件测试文件编制规范》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HJ 75-2017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固定污染源烟气排放连续监测技术规范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</w:rPr>
              <w:t>HJ 76-2017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固定污染源烟气（SO2、NOx、颗粒物）排放连续监测系统技术要求及检测方法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</w:rPr>
              <w:t>GB 3095-2012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环境空气质量标准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241300</wp:posOffset>
                  </wp:positionV>
                  <wp:extent cx="635000" cy="336550"/>
                  <wp:effectExtent l="0" t="0" r="0" b="635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59690</wp:posOffset>
                  </wp:positionV>
                  <wp:extent cx="1069340" cy="514985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4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2B86B4A"/>
    <w:rsid w:val="236D697A"/>
    <w:rsid w:val="7B903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1309</Words>
  <Characters>1834</Characters>
  <Lines>2</Lines>
  <Paragraphs>1</Paragraphs>
  <TotalTime>0</TotalTime>
  <ScaleCrop>false</ScaleCrop>
  <LinksUpToDate>false</LinksUpToDate>
  <CharactersWithSpaces>1845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2022-06-15T07:52:56Z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