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管理层；</w:t>
            </w:r>
            <w:r>
              <w:rPr>
                <w:rFonts w:hint="eastAsia"/>
                <w:sz w:val="24"/>
                <w:szCs w:val="24"/>
              </w:rPr>
              <w:t>主管领导</w:t>
            </w:r>
            <w:r>
              <w:rPr>
                <w:rFonts w:hint="eastAsia"/>
                <w:sz w:val="24"/>
                <w:szCs w:val="24"/>
                <w:lang w:val="en-US" w:eastAsia="zh-CN"/>
              </w:rPr>
              <w:t>/</w:t>
            </w:r>
            <w:r>
              <w:rPr>
                <w:rFonts w:hint="eastAsia"/>
                <w:sz w:val="24"/>
                <w:szCs w:val="24"/>
              </w:rPr>
              <w:t>陪同人员：</w:t>
            </w:r>
            <w:bookmarkStart w:id="0" w:name="管理者代表"/>
            <w:r>
              <w:rPr>
                <w:rFonts w:hint="eastAsia"/>
                <w:sz w:val="24"/>
                <w:szCs w:val="24"/>
              </w:rPr>
              <w:t>常建立</w:t>
            </w:r>
            <w:bookmarkEnd w:id="0"/>
            <w:r>
              <w:rPr>
                <w:rFonts w:hint="eastAsia"/>
                <w:sz w:val="24"/>
                <w:szCs w:val="24"/>
                <w:lang w:eastAsia="zh-CN"/>
              </w:rPr>
              <w:t>；</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周文/远程；</w:t>
            </w:r>
            <w:r>
              <w:rPr>
                <w:rFonts w:hint="eastAsia"/>
                <w:sz w:val="24"/>
                <w:szCs w:val="24"/>
              </w:rPr>
              <w:t>审核时间：</w:t>
            </w:r>
            <w:bookmarkStart w:id="1" w:name="审核日期"/>
            <w:r>
              <w:t xml:space="preserve">2022年04月29日 </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tabs>
                <w:tab w:val="left" w:pos="709"/>
              </w:tabs>
              <w:ind w:right="57"/>
              <w:jc w:val="left"/>
              <w:rPr>
                <w:rFonts w:hint="eastAsia"/>
              </w:rPr>
            </w:pPr>
            <w:r>
              <w:rPr>
                <w:rFonts w:hint="eastAsia"/>
              </w:rPr>
              <w:t>审核条款：</w:t>
            </w:r>
          </w:p>
          <w:p>
            <w:pPr>
              <w:tabs>
                <w:tab w:val="left" w:pos="709"/>
              </w:tabs>
              <w:ind w:right="57"/>
              <w:jc w:val="left"/>
            </w:pPr>
            <w:r>
              <w:rPr>
                <w:rFonts w:hint="eastAsia"/>
              </w:rPr>
              <w:t>Q：4.1</w:t>
            </w:r>
            <w:r>
              <w:t>/</w:t>
            </w:r>
            <w:r>
              <w:rPr>
                <w:rFonts w:hint="eastAsia"/>
              </w:rPr>
              <w:t xml:space="preserve"> 4.2</w:t>
            </w:r>
            <w:r>
              <w:t>/</w:t>
            </w:r>
            <w:r>
              <w:rPr>
                <w:rFonts w:hint="eastAsia"/>
              </w:rPr>
              <w:t xml:space="preserve"> 4.3</w:t>
            </w:r>
            <w:r>
              <w:t>/</w:t>
            </w:r>
            <w:r>
              <w:rPr>
                <w:rFonts w:hint="eastAsia"/>
              </w:rPr>
              <w:t xml:space="preserve"> 4.4</w:t>
            </w:r>
            <w:r>
              <w:t>/5.1/5.2/5.3/6.1/6.2/6.3/7.1.1/9.3/10.1/10.3</w:t>
            </w:r>
          </w:p>
          <w:p>
            <w:pPr>
              <w:tabs>
                <w:tab w:val="left" w:pos="709"/>
              </w:tabs>
              <w:ind w:right="57"/>
              <w:jc w:val="left"/>
              <w:rPr>
                <w:rFonts w:hint="eastAsia"/>
                <w:lang w:val="en-US" w:eastAsia="zh-CN"/>
              </w:rPr>
            </w:pPr>
            <w:r>
              <w:rPr>
                <w:rFonts w:hint="eastAsia"/>
              </w:rPr>
              <w:t>E</w:t>
            </w:r>
            <w:r>
              <w:rPr>
                <w:rFonts w:hint="eastAsia"/>
                <w:lang w:val="en-US" w:eastAsia="zh-CN"/>
              </w:rPr>
              <w:t>：4.1/ 4.2 /4.3 /4.4 /5.1/ 5.2/ 5.3 /6.1.1</w:t>
            </w:r>
            <w:r>
              <w:rPr>
                <w:rFonts w:hint="eastAsia" w:cs="Times New Roman"/>
                <w:sz w:val="21"/>
                <w:szCs w:val="21"/>
                <w:lang w:val="en-US" w:eastAsia="zh-CN"/>
              </w:rPr>
              <w:t>/6.1.4</w:t>
            </w:r>
            <w:r>
              <w:rPr>
                <w:rFonts w:hint="eastAsia"/>
                <w:lang w:val="en-US" w:eastAsia="zh-CN"/>
              </w:rPr>
              <w:t>/6.2 /7.1/9.3 /10.1/10.3</w:t>
            </w:r>
          </w:p>
          <w:p>
            <w:r>
              <w:rPr>
                <w:rFonts w:hint="eastAsia"/>
                <w:lang w:val="en-US" w:eastAsia="zh-CN"/>
              </w:rPr>
              <w:t>S：</w:t>
            </w:r>
            <w:r>
              <w:t>4.1/4.2/4.3/4.4/5.1/5.2</w:t>
            </w:r>
            <w:r>
              <w:rPr>
                <w:rFonts w:hint="eastAsia"/>
                <w:lang w:val="en-US" w:eastAsia="zh-CN"/>
              </w:rPr>
              <w:t>/5.3/5.4</w:t>
            </w:r>
            <w:r>
              <w:t>/6.1.1</w:t>
            </w:r>
            <w:r>
              <w:rPr>
                <w:rFonts w:hint="eastAsia" w:cs="Times New Roman"/>
                <w:sz w:val="21"/>
                <w:szCs w:val="21"/>
                <w:lang w:val="en-US" w:eastAsia="zh-CN"/>
              </w:rPr>
              <w:t>/6.1.4</w:t>
            </w:r>
            <w:r>
              <w:t>/6.2/7.1/9.3/10.1/10.3</w:t>
            </w:r>
          </w:p>
          <w:p>
            <w:pPr>
              <w:tabs>
                <w:tab w:val="left" w:pos="709"/>
              </w:tabs>
              <w:ind w:right="57"/>
              <w:rPr>
                <w:sz w:val="21"/>
                <w:szCs w:val="21"/>
              </w:rPr>
            </w:pPr>
            <w:r>
              <w:rPr>
                <w:rFonts w:hint="eastAsia"/>
                <w:sz w:val="21"/>
                <w:szCs w:val="21"/>
              </w:rPr>
              <w:t>1、企业概况及组织体系总体策划和建立过程：</w:t>
            </w:r>
          </w:p>
          <w:p>
            <w:pPr>
              <w:tabs>
                <w:tab w:val="left" w:pos="709"/>
              </w:tabs>
              <w:ind w:right="57"/>
              <w:rPr>
                <w:rFonts w:hint="eastAsia" w:eastAsia="宋体"/>
                <w:sz w:val="21"/>
                <w:szCs w:val="21"/>
                <w:lang w:eastAsia="zh-CN"/>
              </w:rPr>
            </w:pPr>
            <w:r>
              <w:rPr>
                <w:rFonts w:hint="eastAsia"/>
                <w:sz w:val="21"/>
                <w:szCs w:val="21"/>
              </w:rPr>
              <w:t>*影响企业管理体系预期结果的风险识别与应对，包括相关方需求识别和应对，以及风险识别与应对机制的建立、体系变更策划</w:t>
            </w:r>
            <w:r>
              <w:rPr>
                <w:rFonts w:hint="eastAsia"/>
                <w:sz w:val="21"/>
                <w:szCs w:val="21"/>
                <w:lang w:eastAsia="zh-CN"/>
              </w:rPr>
              <w:t>；</w:t>
            </w:r>
          </w:p>
          <w:p>
            <w:pPr>
              <w:tabs>
                <w:tab w:val="left" w:pos="709"/>
              </w:tabs>
              <w:ind w:right="57"/>
              <w:rPr>
                <w:sz w:val="21"/>
                <w:szCs w:val="21"/>
              </w:rPr>
            </w:pPr>
            <w:r>
              <w:rPr>
                <w:rFonts w:hint="eastAsia"/>
                <w:sz w:val="21"/>
                <w:szCs w:val="21"/>
              </w:rPr>
              <w:t>*组织方针、目标建立的适宜性和实施的有效性</w:t>
            </w:r>
          </w:p>
          <w:p>
            <w:pPr>
              <w:tabs>
                <w:tab w:val="left" w:pos="709"/>
              </w:tabs>
              <w:ind w:right="57"/>
              <w:rPr>
                <w:rFonts w:hint="eastAsia" w:eastAsia="宋体"/>
                <w:sz w:val="21"/>
                <w:szCs w:val="21"/>
                <w:lang w:eastAsia="zh-CN"/>
              </w:rPr>
            </w:pPr>
            <w:r>
              <w:rPr>
                <w:rFonts w:hint="eastAsia"/>
                <w:sz w:val="21"/>
                <w:szCs w:val="21"/>
              </w:rPr>
              <w:t>*管理承诺的具体体现</w:t>
            </w:r>
            <w:r>
              <w:rPr>
                <w:rFonts w:hint="eastAsia"/>
                <w:sz w:val="21"/>
                <w:szCs w:val="21"/>
                <w:lang w:eastAsia="zh-CN"/>
              </w:rPr>
              <w:t>；</w:t>
            </w:r>
          </w:p>
          <w:p>
            <w:pPr>
              <w:tabs>
                <w:tab w:val="left" w:pos="709"/>
              </w:tabs>
              <w:ind w:right="57"/>
              <w:rPr>
                <w:rFonts w:hint="eastAsia" w:eastAsia="宋体"/>
                <w:sz w:val="21"/>
                <w:szCs w:val="21"/>
                <w:lang w:eastAsia="zh-CN"/>
              </w:rPr>
            </w:pPr>
            <w:r>
              <w:rPr>
                <w:rFonts w:hint="eastAsia"/>
                <w:sz w:val="21"/>
                <w:szCs w:val="21"/>
              </w:rPr>
              <w:t>*组织架构及职责分配的适宜性</w:t>
            </w:r>
            <w:r>
              <w:rPr>
                <w:rFonts w:hint="eastAsia"/>
                <w:sz w:val="21"/>
                <w:szCs w:val="21"/>
                <w:lang w:eastAsia="zh-CN"/>
              </w:rPr>
              <w:t>；</w:t>
            </w:r>
            <w:r>
              <w:rPr>
                <w:rFonts w:hint="eastAsia"/>
                <w:sz w:val="21"/>
                <w:szCs w:val="21"/>
                <w:lang w:val="en-US" w:eastAsia="zh-CN"/>
              </w:rPr>
              <w:t>员工</w:t>
            </w:r>
            <w:r>
              <w:rPr>
                <w:rFonts w:hint="eastAsia"/>
                <w:sz w:val="21"/>
                <w:szCs w:val="21"/>
                <w:lang w:eastAsia="zh-CN"/>
              </w:rPr>
              <w:t>代表职责履行情况；</w:t>
            </w:r>
          </w:p>
          <w:p>
            <w:pPr>
              <w:tabs>
                <w:tab w:val="left" w:pos="709"/>
              </w:tabs>
              <w:ind w:right="57"/>
              <w:rPr>
                <w:rFonts w:hint="eastAsia" w:eastAsia="宋体"/>
                <w:sz w:val="21"/>
                <w:szCs w:val="21"/>
                <w:lang w:eastAsia="zh-CN"/>
              </w:rPr>
            </w:pPr>
            <w:r>
              <w:rPr>
                <w:rFonts w:hint="eastAsia"/>
                <w:sz w:val="21"/>
                <w:szCs w:val="21"/>
              </w:rPr>
              <w:t>*管理体系范围确定的适宜性和充分性及体系过程</w:t>
            </w:r>
            <w:r>
              <w:rPr>
                <w:rFonts w:hint="eastAsia"/>
                <w:sz w:val="21"/>
                <w:szCs w:val="21"/>
                <w:lang w:eastAsia="zh-CN"/>
              </w:rPr>
              <w:t>；</w:t>
            </w:r>
          </w:p>
          <w:p>
            <w:pPr>
              <w:spacing w:line="276" w:lineRule="auto"/>
              <w:rPr>
                <w:rFonts w:hint="eastAsia" w:eastAsia="宋体"/>
                <w:sz w:val="21"/>
                <w:szCs w:val="21"/>
                <w:lang w:eastAsia="zh-CN"/>
              </w:rPr>
            </w:pPr>
            <w:r>
              <w:rPr>
                <w:rFonts w:hint="eastAsia"/>
                <w:sz w:val="21"/>
                <w:szCs w:val="21"/>
              </w:rPr>
              <w:t>*体系必要资源提供的充分性</w:t>
            </w:r>
            <w:r>
              <w:rPr>
                <w:rFonts w:hint="eastAsia"/>
                <w:sz w:val="21"/>
                <w:szCs w:val="21"/>
                <w:lang w:eastAsia="zh-CN"/>
              </w:rPr>
              <w:t>；</w:t>
            </w:r>
          </w:p>
          <w:p>
            <w:pPr>
              <w:tabs>
                <w:tab w:val="left" w:pos="709"/>
              </w:tabs>
              <w:ind w:right="57"/>
              <w:rPr>
                <w:sz w:val="21"/>
                <w:szCs w:val="21"/>
              </w:rPr>
            </w:pPr>
            <w:r>
              <w:rPr>
                <w:rFonts w:hint="eastAsia"/>
                <w:sz w:val="21"/>
                <w:szCs w:val="21"/>
              </w:rPr>
              <w:t>2、体系综合绩效检查、评价和改进过程：</w:t>
            </w:r>
          </w:p>
          <w:p>
            <w:pPr>
              <w:tabs>
                <w:tab w:val="left" w:pos="709"/>
              </w:tabs>
              <w:ind w:right="57"/>
              <w:rPr>
                <w:rFonts w:hint="eastAsia" w:eastAsia="宋体"/>
                <w:sz w:val="21"/>
                <w:szCs w:val="21"/>
                <w:lang w:eastAsia="zh-CN"/>
              </w:rPr>
            </w:pPr>
            <w:r>
              <w:rPr>
                <w:rFonts w:hint="eastAsia"/>
                <w:sz w:val="21"/>
                <w:szCs w:val="21"/>
              </w:rPr>
              <w:t>*管理评审的实施及作用</w:t>
            </w:r>
            <w:r>
              <w:rPr>
                <w:rFonts w:hint="eastAsia"/>
                <w:sz w:val="21"/>
                <w:szCs w:val="21"/>
                <w:lang w:eastAsia="zh-CN"/>
              </w:rPr>
              <w:t>；</w:t>
            </w:r>
          </w:p>
          <w:p>
            <w:pPr>
              <w:tabs>
                <w:tab w:val="left" w:pos="709"/>
              </w:tabs>
              <w:ind w:right="57"/>
              <w:rPr>
                <w:rFonts w:hint="eastAsia" w:eastAsia="宋体"/>
                <w:sz w:val="21"/>
                <w:szCs w:val="21"/>
                <w:lang w:eastAsia="zh-CN"/>
              </w:rPr>
            </w:pPr>
            <w:r>
              <w:rPr>
                <w:rFonts w:hint="eastAsia"/>
                <w:sz w:val="21"/>
                <w:szCs w:val="21"/>
              </w:rPr>
              <w:t>*改进机制的建立</w:t>
            </w:r>
            <w:r>
              <w:rPr>
                <w:rFonts w:hint="eastAsia"/>
                <w:sz w:val="21"/>
                <w:szCs w:val="21"/>
                <w:lang w:eastAsia="zh-CN"/>
              </w:rPr>
              <w:t>；</w:t>
            </w:r>
          </w:p>
          <w:p>
            <w:pPr>
              <w:pStyle w:val="2"/>
            </w:pPr>
            <w:r>
              <w:rPr>
                <w:rFonts w:hint="eastAsia"/>
                <w:sz w:val="21"/>
                <w:szCs w:val="21"/>
              </w:rPr>
              <w:t>3、产品质量状况(包括质量/环境/安全事故、顾客投诉、监督部门抽查/监测等)</w:t>
            </w:r>
            <w:r>
              <w:rPr>
                <w:rFonts w:hint="eastAsia"/>
                <w:sz w:val="21"/>
                <w:szCs w:val="21"/>
                <w:lang w:eastAsia="zh-CN"/>
              </w:rPr>
              <w:t>、</w:t>
            </w:r>
            <w:r>
              <w:rPr>
                <w:rFonts w:hint="eastAsia"/>
                <w:sz w:val="21"/>
                <w:szCs w:val="21"/>
                <w:lang w:val="en-US" w:eastAsia="zh-CN"/>
              </w:rPr>
              <w:t>Q不适用条款说明；</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tabs>
                <w:tab w:val="left" w:pos="709"/>
              </w:tabs>
              <w:spacing w:line="240" w:lineRule="auto"/>
              <w:ind w:right="57"/>
              <w:rPr>
                <w:sz w:val="21"/>
                <w:szCs w:val="21"/>
              </w:rPr>
            </w:pPr>
            <w:r>
              <w:rPr>
                <w:rFonts w:hint="eastAsia"/>
                <w:sz w:val="21"/>
                <w:szCs w:val="21"/>
              </w:rPr>
              <w:t>1、企业概况及组织体系总体策划和建立过程：</w:t>
            </w:r>
          </w:p>
          <w:p>
            <w:pPr>
              <w:spacing w:line="240" w:lineRule="auto"/>
              <w:rPr>
                <w:sz w:val="21"/>
                <w:szCs w:val="21"/>
              </w:rPr>
            </w:pPr>
            <w:r>
              <w:rPr>
                <w:rFonts w:hint="eastAsia"/>
                <w:sz w:val="21"/>
                <w:szCs w:val="21"/>
              </w:rPr>
              <w:t>*影响企业管理体系预期结果的风险识别与应对，包括相关方需求识别和应对，以及风险识别与应对机制的建立</w:t>
            </w:r>
          </w:p>
        </w:tc>
        <w:tc>
          <w:tcPr>
            <w:tcW w:w="960" w:type="dxa"/>
          </w:tcPr>
          <w:p>
            <w:pPr>
              <w:spacing w:line="240" w:lineRule="auto"/>
              <w:rPr>
                <w:rFonts w:hint="default"/>
                <w:sz w:val="21"/>
                <w:szCs w:val="21"/>
                <w:lang w:val="en-US" w:eastAsia="zh-CN"/>
              </w:rPr>
            </w:pPr>
            <w:r>
              <w:rPr>
                <w:rFonts w:hint="eastAsia"/>
                <w:sz w:val="21"/>
                <w:szCs w:val="21"/>
                <w:lang w:val="en-US" w:eastAsia="zh-CN"/>
              </w:rPr>
              <w:t>QES4.1/4.2;</w:t>
            </w:r>
          </w:p>
          <w:p>
            <w:pPr>
              <w:pStyle w:val="2"/>
              <w:spacing w:line="240" w:lineRule="auto"/>
              <w:rPr>
                <w:rFonts w:hint="eastAsia"/>
                <w:sz w:val="21"/>
                <w:szCs w:val="21"/>
                <w:lang w:val="en-US" w:eastAsia="zh-CN"/>
              </w:rPr>
            </w:pPr>
            <w:r>
              <w:rPr>
                <w:rFonts w:hint="eastAsia"/>
                <w:sz w:val="21"/>
                <w:szCs w:val="21"/>
                <w:lang w:val="en-US" w:eastAsia="zh-CN"/>
              </w:rPr>
              <w:t>Q6.1;</w:t>
            </w:r>
          </w:p>
          <w:p>
            <w:pPr>
              <w:pStyle w:val="2"/>
              <w:spacing w:line="240" w:lineRule="auto"/>
              <w:rPr>
                <w:rFonts w:hint="default"/>
                <w:sz w:val="21"/>
                <w:szCs w:val="21"/>
                <w:lang w:val="en-US" w:eastAsia="zh-CN"/>
              </w:rPr>
            </w:pPr>
            <w:r>
              <w:rPr>
                <w:rFonts w:hint="eastAsia"/>
                <w:sz w:val="21"/>
                <w:szCs w:val="21"/>
                <w:lang w:val="en-US" w:eastAsia="zh-CN"/>
              </w:rPr>
              <w:t>ES6.1.1</w:t>
            </w:r>
          </w:p>
        </w:tc>
        <w:tc>
          <w:tcPr>
            <w:tcW w:w="10004" w:type="dxa"/>
          </w:tcPr>
          <w:p>
            <w:pPr>
              <w:pStyle w:val="12"/>
              <w:spacing w:line="240" w:lineRule="auto"/>
              <w:ind w:firstLine="420" w:firstLineChars="200"/>
              <w:rPr>
                <w:rFonts w:hint="eastAsia" w:ascii="Times New Roman" w:hAnsi="Times New Roman"/>
                <w:sz w:val="21"/>
                <w:szCs w:val="21"/>
                <w:lang w:eastAsia="zh-CN"/>
              </w:rPr>
            </w:pPr>
            <w:r>
              <w:rPr>
                <w:rFonts w:hint="eastAsia" w:ascii="Times New Roman" w:hAnsi="Times New Roman"/>
                <w:sz w:val="21"/>
                <w:szCs w:val="21"/>
                <w:lang w:val="en-US" w:eastAsia="zh-CN"/>
              </w:rPr>
              <w:t>法人兼总经理兼管代：</w:t>
            </w:r>
            <w:r>
              <w:rPr>
                <w:rFonts w:hint="eastAsia" w:ascii="Times New Roman" w:hAnsi="Times New Roman"/>
                <w:sz w:val="21"/>
                <w:szCs w:val="21"/>
              </w:rPr>
              <w:t>常建立</w:t>
            </w:r>
            <w:r>
              <w:rPr>
                <w:rFonts w:hint="eastAsia" w:ascii="Times New Roman" w:hAnsi="Times New Roman"/>
                <w:sz w:val="21"/>
                <w:szCs w:val="21"/>
                <w:lang w:eastAsia="zh-CN"/>
              </w:rPr>
              <w:t>；</w:t>
            </w:r>
            <w:r>
              <w:rPr>
                <w:rFonts w:hint="eastAsia" w:ascii="Times New Roman" w:hAnsi="Times New Roman"/>
                <w:sz w:val="21"/>
                <w:szCs w:val="21"/>
                <w:lang w:val="en-US" w:eastAsia="zh-CN"/>
              </w:rPr>
              <w:t>员工</w:t>
            </w:r>
            <w:r>
              <w:rPr>
                <w:rFonts w:hint="eastAsia" w:ascii="Times New Roman" w:hAnsi="Times New Roman"/>
                <w:sz w:val="21"/>
                <w:szCs w:val="21"/>
              </w:rPr>
              <w:t>代表</w:t>
            </w:r>
            <w:r>
              <w:rPr>
                <w:rFonts w:hint="eastAsia" w:ascii="Times New Roman" w:hAnsi="Times New Roman"/>
                <w:sz w:val="21"/>
                <w:szCs w:val="21"/>
                <w:lang w:eastAsia="zh-CN"/>
              </w:rPr>
              <w:t>：</w:t>
            </w:r>
            <w:r>
              <w:rPr>
                <w:rFonts w:hint="eastAsia" w:ascii="Times New Roman" w:hAnsi="Times New Roman"/>
                <w:sz w:val="21"/>
                <w:szCs w:val="21"/>
                <w:lang w:val="en-US" w:eastAsia="zh-CN"/>
              </w:rPr>
              <w:t>李俊忙</w:t>
            </w:r>
            <w:r>
              <w:rPr>
                <w:rFonts w:hint="eastAsia" w:ascii="Times New Roman" w:hAnsi="Times New Roman"/>
                <w:sz w:val="21"/>
                <w:szCs w:val="21"/>
                <w:lang w:eastAsia="zh-CN"/>
              </w:rPr>
              <w:t>；</w:t>
            </w:r>
          </w:p>
          <w:p>
            <w:pPr>
              <w:pStyle w:val="12"/>
              <w:spacing w:line="240" w:lineRule="auto"/>
              <w:ind w:firstLine="420" w:firstLineChars="200"/>
              <w:rPr>
                <w:rFonts w:hint="eastAsia" w:ascii="Times New Roman" w:hAnsi="Times New Roman"/>
                <w:sz w:val="21"/>
                <w:szCs w:val="21"/>
              </w:rPr>
            </w:pPr>
            <w:r>
              <w:rPr>
                <w:rFonts w:hint="eastAsia" w:ascii="Times New Roman" w:hAnsi="Times New Roman"/>
                <w:sz w:val="21"/>
                <w:szCs w:val="21"/>
                <w:lang w:eastAsia="zh-CN"/>
              </w:rPr>
              <w:t>河北凯得立服装有限公司，公司位于衡水市饶阳县大尹村镇大迁民村38号，注册资金</w:t>
            </w:r>
            <w:r>
              <w:rPr>
                <w:rFonts w:hint="eastAsia" w:ascii="Times New Roman" w:hAnsi="Times New Roman"/>
                <w:sz w:val="21"/>
                <w:szCs w:val="21"/>
                <w:lang w:val="en-US" w:eastAsia="zh-CN"/>
              </w:rPr>
              <w:t>3</w:t>
            </w:r>
            <w:r>
              <w:rPr>
                <w:rFonts w:hint="eastAsia" w:ascii="Times New Roman" w:hAnsi="Times New Roman"/>
                <w:sz w:val="21"/>
                <w:szCs w:val="21"/>
                <w:lang w:eastAsia="zh-CN"/>
              </w:rPr>
              <w:t>00万元。</w:t>
            </w:r>
            <w:r>
              <w:rPr>
                <w:rFonts w:hint="eastAsia" w:ascii="Times New Roman" w:hAnsi="Times New Roman"/>
                <w:sz w:val="21"/>
                <w:szCs w:val="21"/>
                <w:lang w:eastAsia="zh-CN"/>
              </w:rPr>
              <w:br w:type="textWrapping"/>
            </w:r>
            <w:r>
              <w:rPr>
                <w:rFonts w:hint="eastAsia" w:ascii="Times New Roman" w:hAnsi="Times New Roman"/>
                <w:sz w:val="21"/>
                <w:szCs w:val="21"/>
                <w:lang w:eastAsia="zh-CN"/>
              </w:rPr>
              <w:t>　　公司成立于20</w:t>
            </w:r>
            <w:r>
              <w:rPr>
                <w:rFonts w:hint="eastAsia" w:ascii="Times New Roman" w:hAnsi="Times New Roman"/>
                <w:sz w:val="21"/>
                <w:szCs w:val="21"/>
                <w:lang w:val="en-US" w:eastAsia="zh-CN"/>
              </w:rPr>
              <w:t>19</w:t>
            </w:r>
            <w:r>
              <w:rPr>
                <w:rFonts w:hint="eastAsia" w:ascii="Times New Roman" w:hAnsi="Times New Roman"/>
                <w:sz w:val="21"/>
                <w:szCs w:val="21"/>
                <w:lang w:eastAsia="zh-CN"/>
              </w:rPr>
              <w:t>年</w:t>
            </w:r>
            <w:r>
              <w:rPr>
                <w:rFonts w:hint="eastAsia" w:ascii="Times New Roman" w:hAnsi="Times New Roman"/>
                <w:sz w:val="21"/>
                <w:szCs w:val="21"/>
                <w:lang w:val="en-US" w:eastAsia="zh-CN"/>
              </w:rPr>
              <w:t>07</w:t>
            </w:r>
            <w:r>
              <w:rPr>
                <w:rFonts w:hint="eastAsia" w:ascii="Times New Roman" w:hAnsi="Times New Roman"/>
                <w:sz w:val="21"/>
                <w:szCs w:val="21"/>
                <w:lang w:eastAsia="zh-CN"/>
              </w:rPr>
              <w:t>月，是一家专注</w:t>
            </w:r>
            <w:r>
              <w:rPr>
                <w:rFonts w:hint="eastAsia" w:ascii="Times New Roman" w:hAnsi="Times New Roman"/>
                <w:sz w:val="21"/>
                <w:szCs w:val="21"/>
                <w:lang w:val="en-US" w:eastAsia="zh-CN"/>
              </w:rPr>
              <w:t>服装（校服）、床上用品（棉被、棉垫、床单、被罩）的销售</w:t>
            </w:r>
            <w:r>
              <w:rPr>
                <w:rFonts w:hint="eastAsia" w:ascii="Times New Roman" w:hAnsi="Times New Roman"/>
                <w:sz w:val="21"/>
                <w:szCs w:val="21"/>
                <w:lang w:eastAsia="zh-CN"/>
              </w:rPr>
              <w:t>服务公司</w:t>
            </w:r>
            <w:r>
              <w:rPr>
                <w:rFonts w:hint="eastAsia" w:ascii="Times New Roman" w:hAnsi="Times New Roman"/>
                <w:sz w:val="21"/>
                <w:szCs w:val="21"/>
              </w:rPr>
              <w:t>。公司</w:t>
            </w:r>
            <w:r>
              <w:rPr>
                <w:rFonts w:hint="eastAsia" w:ascii="Times New Roman" w:hAnsi="Times New Roman"/>
                <w:sz w:val="21"/>
                <w:szCs w:val="21"/>
                <w:lang w:val="en-US" w:eastAsia="zh-CN"/>
              </w:rPr>
              <w:t>于2022年1月3日</w:t>
            </w:r>
            <w:r>
              <w:rPr>
                <w:rFonts w:hint="eastAsia" w:ascii="Times New Roman" w:hAnsi="Times New Roman"/>
                <w:sz w:val="21"/>
                <w:szCs w:val="21"/>
              </w:rPr>
              <w:t>依据GB/T19001-2015 idt ISO9001：2015《质量管理体系  要求》</w:t>
            </w:r>
            <w:r>
              <w:rPr>
                <w:rFonts w:hint="eastAsia" w:ascii="Times New Roman" w:hAnsi="Times New Roman"/>
                <w:sz w:val="21"/>
                <w:szCs w:val="21"/>
                <w:lang w:eastAsia="zh-CN"/>
              </w:rPr>
              <w:t>、</w:t>
            </w:r>
            <w:r>
              <w:rPr>
                <w:rFonts w:hint="eastAsia" w:ascii="Times New Roman" w:hAnsi="Times New Roman"/>
                <w:sz w:val="21"/>
                <w:szCs w:val="21"/>
              </w:rPr>
              <w:t>GB/T24001-2015 idt ISO14001：2015《环境管理体系  要求及使用指南》</w:t>
            </w:r>
            <w:r>
              <w:rPr>
                <w:rFonts w:hint="eastAsia" w:ascii="Times New Roman" w:hAnsi="Times New Roman"/>
                <w:sz w:val="21"/>
                <w:szCs w:val="21"/>
                <w:lang w:eastAsia="zh-CN"/>
              </w:rPr>
              <w:t>、GB/T45001-2020/ISO45001:20</w:t>
            </w:r>
            <w:r>
              <w:rPr>
                <w:rFonts w:hint="eastAsia" w:ascii="Times New Roman" w:hAnsi="Times New Roman"/>
                <w:sz w:val="21"/>
                <w:szCs w:val="21"/>
                <w:lang w:val="en-US" w:eastAsia="zh-CN"/>
              </w:rPr>
              <w:t>20</w:t>
            </w:r>
            <w:r>
              <w:rPr>
                <w:rFonts w:hint="eastAsia" w:ascii="Times New Roman" w:hAnsi="Times New Roman"/>
                <w:sz w:val="21"/>
                <w:szCs w:val="21"/>
              </w:rPr>
              <w:t>《职业健康安全管理体系 要求及使用指南》，结合本公司的实际情况和产品特性</w:t>
            </w:r>
            <w:r>
              <w:rPr>
                <w:rFonts w:hint="eastAsia" w:ascii="Times New Roman" w:hAnsi="Times New Roman"/>
                <w:sz w:val="21"/>
                <w:szCs w:val="21"/>
                <w:lang w:eastAsia="zh-CN"/>
              </w:rPr>
              <w:t>，</w:t>
            </w:r>
            <w:r>
              <w:rPr>
                <w:rFonts w:hint="eastAsia" w:ascii="Times New Roman" w:hAnsi="Times New Roman"/>
                <w:sz w:val="21"/>
                <w:szCs w:val="21"/>
              </w:rPr>
              <w:t>建立</w:t>
            </w:r>
            <w:r>
              <w:rPr>
                <w:rFonts w:hint="eastAsia" w:ascii="Times New Roman" w:hAnsi="Times New Roman"/>
                <w:sz w:val="21"/>
                <w:szCs w:val="21"/>
                <w:lang w:eastAsia="zh-CN"/>
              </w:rPr>
              <w:t>、</w:t>
            </w:r>
            <w:r>
              <w:rPr>
                <w:rFonts w:hint="eastAsia" w:ascii="Times New Roman" w:hAnsi="Times New Roman"/>
                <w:sz w:val="21"/>
                <w:szCs w:val="21"/>
                <w:lang w:val="en-US" w:eastAsia="zh-CN"/>
              </w:rPr>
              <w:t>实施、保持和持续改进</w:t>
            </w:r>
            <w:r>
              <w:rPr>
                <w:rFonts w:hint="eastAsia" w:ascii="Times New Roman" w:hAnsi="Times New Roman"/>
                <w:sz w:val="21"/>
                <w:szCs w:val="21"/>
              </w:rPr>
              <w:t>了质量</w:t>
            </w:r>
            <w:r>
              <w:rPr>
                <w:rFonts w:hint="eastAsia" w:ascii="Times New Roman" w:hAnsi="Times New Roman"/>
                <w:sz w:val="21"/>
                <w:szCs w:val="21"/>
                <w:lang w:eastAsia="zh-CN"/>
              </w:rPr>
              <w:t>、</w:t>
            </w:r>
            <w:r>
              <w:rPr>
                <w:rFonts w:hint="eastAsia" w:ascii="Times New Roman" w:hAnsi="Times New Roman"/>
                <w:sz w:val="21"/>
                <w:szCs w:val="21"/>
                <w:lang w:val="en-US" w:eastAsia="zh-CN"/>
              </w:rPr>
              <w:t>环境、职业健康安全一体化管理</w:t>
            </w:r>
            <w:r>
              <w:rPr>
                <w:rFonts w:hint="eastAsia" w:ascii="Times New Roman" w:hAnsi="Times New Roman"/>
                <w:sz w:val="21"/>
                <w:szCs w:val="21"/>
              </w:rPr>
              <w:t>体系，确保在满足国家法规的基础上为客户提供优质的产品和完善的服务。</w:t>
            </w:r>
          </w:p>
          <w:p>
            <w:pPr>
              <w:pStyle w:val="12"/>
              <w:spacing w:line="240" w:lineRule="auto"/>
              <w:ind w:firstLine="420" w:firstLineChars="200"/>
              <w:rPr>
                <w:rFonts w:ascii="Times New Roman" w:hAnsi="Times New Roman"/>
                <w:sz w:val="21"/>
                <w:szCs w:val="21"/>
              </w:rPr>
            </w:pPr>
            <w:r>
              <w:rPr>
                <w:rFonts w:hint="eastAsia" w:ascii="Times New Roman" w:hAnsi="Times New Roman"/>
                <w:sz w:val="21"/>
                <w:szCs w:val="21"/>
              </w:rPr>
              <w:t>根据顾客要求、企业的经验和资源状况，以过程方法模式，识别公司的管理体系所需的过程。采用PDCA循环的管理方法。重点识别</w:t>
            </w:r>
            <w:r>
              <w:rPr>
                <w:rFonts w:hint="eastAsia" w:ascii="Times New Roman" w:hAnsi="Times New Roman"/>
                <w:sz w:val="21"/>
                <w:szCs w:val="21"/>
                <w:lang w:eastAsia="zh-CN"/>
              </w:rPr>
              <w:t>服装（校服）、床上用品（棉被、棉垫、床单、被罩）的销售</w:t>
            </w:r>
            <w:r>
              <w:rPr>
                <w:rFonts w:hint="eastAsia" w:ascii="Times New Roman" w:hAnsi="Times New Roman"/>
                <w:sz w:val="21"/>
                <w:szCs w:val="21"/>
              </w:rPr>
              <w:t>及相关环境</w:t>
            </w:r>
            <w:r>
              <w:rPr>
                <w:rFonts w:hint="eastAsia" w:ascii="Times New Roman" w:hAnsi="Times New Roman"/>
                <w:sz w:val="21"/>
                <w:szCs w:val="21"/>
                <w:lang w:eastAsia="zh-CN"/>
              </w:rPr>
              <w:t>、</w:t>
            </w:r>
            <w:r>
              <w:rPr>
                <w:rFonts w:hint="eastAsia" w:ascii="Times New Roman" w:hAnsi="Times New Roman"/>
                <w:sz w:val="21"/>
                <w:szCs w:val="21"/>
                <w:lang w:val="en-US" w:eastAsia="zh-CN"/>
              </w:rPr>
              <w:t>职业健康安全</w:t>
            </w:r>
            <w:r>
              <w:rPr>
                <w:rFonts w:hint="eastAsia" w:ascii="Times New Roman" w:hAnsi="Times New Roman"/>
                <w:sz w:val="21"/>
                <w:szCs w:val="21"/>
              </w:rPr>
              <w:t>管理活动实现过程、关键过程及其相互作用。通过把管理的过程方法原则和系统方法原理相结合，实现企业的全面管理。</w:t>
            </w:r>
          </w:p>
          <w:p>
            <w:pPr>
              <w:pStyle w:val="12"/>
              <w:spacing w:line="240" w:lineRule="auto"/>
              <w:ind w:firstLine="420" w:firstLineChars="200"/>
              <w:rPr>
                <w:rFonts w:hint="eastAsia" w:ascii="Times New Roman" w:hAnsi="Times New Roman"/>
                <w:sz w:val="21"/>
                <w:szCs w:val="21"/>
              </w:rPr>
            </w:pPr>
            <w:r>
              <w:rPr>
                <w:rFonts w:hint="eastAsia" w:ascii="Times New Roman" w:hAnsi="Times New Roman"/>
                <w:sz w:val="21"/>
                <w:szCs w:val="21"/>
              </w:rPr>
              <w:t>主要</w:t>
            </w:r>
            <w:r>
              <w:rPr>
                <w:rFonts w:hint="eastAsia" w:ascii="Times New Roman" w:hAnsi="Times New Roman"/>
                <w:sz w:val="21"/>
                <w:szCs w:val="21"/>
                <w:lang w:val="en-US" w:eastAsia="zh-CN"/>
              </w:rPr>
              <w:t>产品实现</w:t>
            </w:r>
            <w:r>
              <w:rPr>
                <w:rFonts w:hint="eastAsia" w:ascii="Times New Roman" w:hAnsi="Times New Roman"/>
                <w:sz w:val="21"/>
                <w:szCs w:val="21"/>
              </w:rPr>
              <w:t>过程为：</w:t>
            </w:r>
          </w:p>
          <w:p>
            <w:pPr>
              <w:pStyle w:val="12"/>
              <w:spacing w:line="240" w:lineRule="auto"/>
              <w:ind w:firstLine="420" w:firstLineChars="200"/>
              <w:rPr>
                <w:rFonts w:hint="eastAsia" w:ascii="Times New Roman" w:hAnsi="Times New Roman"/>
                <w:sz w:val="21"/>
                <w:szCs w:val="21"/>
              </w:rPr>
            </w:pPr>
            <w:r>
              <w:rPr>
                <w:rFonts w:hint="eastAsia" w:ascii="Times New Roman" w:hAnsi="Times New Roman"/>
                <w:sz w:val="21"/>
                <w:szCs w:val="21"/>
              </w:rPr>
              <w:t>顾客需求-合同评审-签订合同-产品采购-</w:t>
            </w:r>
            <w:r>
              <w:rPr>
                <w:rFonts w:hint="eastAsia" w:ascii="Times New Roman" w:hAnsi="Times New Roman"/>
                <w:sz w:val="21"/>
                <w:szCs w:val="21"/>
                <w:lang w:val="en-US" w:eastAsia="zh-CN"/>
              </w:rPr>
              <w:t>供方发货</w:t>
            </w:r>
            <w:r>
              <w:rPr>
                <w:rFonts w:hint="eastAsia" w:ascii="Times New Roman" w:hAnsi="Times New Roman"/>
                <w:sz w:val="21"/>
                <w:szCs w:val="21"/>
              </w:rPr>
              <w:t>-</w:t>
            </w:r>
            <w:r>
              <w:rPr>
                <w:rFonts w:hint="eastAsia" w:ascii="Times New Roman" w:hAnsi="Times New Roman"/>
                <w:sz w:val="21"/>
                <w:szCs w:val="21"/>
                <w:lang w:val="en-US" w:eastAsia="zh-CN"/>
              </w:rPr>
              <w:t>客户验收</w:t>
            </w:r>
            <w:r>
              <w:rPr>
                <w:rFonts w:hint="eastAsia" w:ascii="Times New Roman" w:hAnsi="Times New Roman"/>
                <w:sz w:val="21"/>
                <w:szCs w:val="21"/>
              </w:rPr>
              <w:t>-售后服务。</w:t>
            </w:r>
          </w:p>
          <w:p>
            <w:pPr>
              <w:pStyle w:val="12"/>
              <w:spacing w:line="240" w:lineRule="auto"/>
              <w:ind w:firstLine="420" w:firstLineChars="200"/>
              <w:rPr>
                <w:rFonts w:hint="eastAsia" w:ascii="Times New Roman" w:hAnsi="Times New Roman"/>
                <w:sz w:val="21"/>
                <w:szCs w:val="21"/>
              </w:rPr>
            </w:pPr>
          </w:p>
          <w:p>
            <w:pPr>
              <w:pStyle w:val="12"/>
              <w:spacing w:line="240" w:lineRule="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---以顾客为关注焦点，对影响</w:t>
            </w:r>
            <w:r>
              <w:rPr>
                <w:rFonts w:hint="eastAsia"/>
                <w:sz w:val="21"/>
                <w:szCs w:val="21"/>
              </w:rPr>
              <w:t>公司</w:t>
            </w:r>
            <w:r>
              <w:rPr>
                <w:rFonts w:hint="eastAsia"/>
                <w:sz w:val="21"/>
                <w:szCs w:val="21"/>
                <w:lang w:val="en-US" w:eastAsia="zh-CN"/>
              </w:rPr>
              <w:t>管理体系预期结果的相关方进行了全面的识别和评价，</w:t>
            </w:r>
            <w:r>
              <w:rPr>
                <w:rFonts w:hint="eastAsia"/>
                <w:sz w:val="21"/>
                <w:szCs w:val="21"/>
              </w:rPr>
              <w:t>策划了“相关方需求和期望控制程序”、“法律法规和其他要求控制程序”、“合规性评价管理程序”、“满意度调查表”</w:t>
            </w:r>
            <w:r>
              <w:rPr>
                <w:rFonts w:hint="eastAsia"/>
                <w:sz w:val="21"/>
                <w:szCs w:val="21"/>
                <w:lang w:val="en-US" w:eastAsia="zh-CN"/>
              </w:rPr>
              <w:t>等</w:t>
            </w:r>
            <w:r>
              <w:rPr>
                <w:rFonts w:hint="eastAsia"/>
                <w:sz w:val="21"/>
                <w:szCs w:val="21"/>
              </w:rPr>
              <w:t>。</w:t>
            </w:r>
          </w:p>
          <w:p>
            <w:pPr>
              <w:pStyle w:val="12"/>
              <w:spacing w:line="240" w:lineRule="auto"/>
              <w:ind w:firstLine="420" w:firstLineChars="200"/>
              <w:rPr>
                <w:rFonts w:hint="default" w:ascii="Times New Roman" w:hAnsi="Times New Roman"/>
                <w:sz w:val="21"/>
                <w:szCs w:val="21"/>
                <w:lang w:val="en-US" w:eastAsia="zh-CN"/>
              </w:rPr>
            </w:pPr>
            <w:r>
              <w:rPr>
                <w:rFonts w:hint="eastAsia" w:ascii="Times New Roman" w:hAnsi="Times New Roman"/>
                <w:sz w:val="21"/>
                <w:szCs w:val="21"/>
                <w:lang w:val="en-US" w:eastAsia="zh-CN"/>
              </w:rPr>
              <w:t>出示有“组织的内外重要环境因素分析表”、“风险和机遇应对措施表”及“相关方的需求和期望清单”，基于风险的思维对可能导致对过程和预期结果产生影响的公司内外部的因素、风险和机遇及与管理体系有关的相关方的信息进行了监视与评审。</w:t>
            </w:r>
          </w:p>
          <w:p>
            <w:pPr>
              <w:pStyle w:val="12"/>
              <w:spacing w:line="240" w:lineRule="auto"/>
              <w:rPr>
                <w:rFonts w:hint="eastAsia" w:ascii="Times New Roman" w:hAnsi="Times New Roman"/>
                <w:sz w:val="21"/>
                <w:szCs w:val="21"/>
                <w:lang w:val="en-US" w:eastAsia="zh-CN"/>
              </w:rPr>
            </w:pPr>
            <w:r>
              <w:rPr>
                <w:rFonts w:hint="eastAsia" w:ascii="Times New Roman" w:hAnsi="Times New Roman"/>
                <w:sz w:val="21"/>
                <w:szCs w:val="21"/>
                <w:lang w:val="en-US" w:eastAsia="zh-CN"/>
              </w:rPr>
              <w:t>---核查“风险和机遇应对措施表”，内容包括法规要求、相关方要求、竞争、市场、财务状况等方面的风险和机遇的识别与控制措施。抽查：</w:t>
            </w:r>
          </w:p>
          <w:p>
            <w:pPr>
              <w:pStyle w:val="12"/>
              <w:spacing w:line="240" w:lineRule="auto"/>
              <w:rPr>
                <w:rFonts w:hint="default" w:ascii="Times New Roman" w:hAnsi="Times New Roman"/>
                <w:sz w:val="21"/>
                <w:szCs w:val="21"/>
                <w:lang w:val="en-US" w:eastAsia="zh-CN"/>
              </w:rPr>
            </w:pPr>
            <w:r>
              <w:rPr>
                <w:rFonts w:hint="default" w:ascii="Times New Roman" w:hAnsi="Times New Roman"/>
                <w:sz w:val="21"/>
                <w:szCs w:val="21"/>
                <w:lang w:val="en-US" w:eastAsia="zh-CN"/>
              </w:rPr>
              <w:t>客户的需求</w:t>
            </w:r>
            <w:r>
              <w:rPr>
                <w:rFonts w:hint="default" w:ascii="Times New Roman" w:hAnsi="Times New Roman"/>
                <w:sz w:val="21"/>
                <w:szCs w:val="21"/>
                <w:lang w:val="en-US" w:eastAsia="zh-CN"/>
              </w:rPr>
              <w:tab/>
            </w:r>
          </w:p>
          <w:p>
            <w:pPr>
              <w:pStyle w:val="12"/>
              <w:spacing w:line="240" w:lineRule="auto"/>
              <w:rPr>
                <w:rFonts w:hint="default" w:ascii="Times New Roman" w:hAnsi="Times New Roman"/>
                <w:sz w:val="21"/>
                <w:szCs w:val="21"/>
                <w:lang w:val="en-US" w:eastAsia="zh-CN"/>
              </w:rPr>
            </w:pPr>
            <w:r>
              <w:rPr>
                <w:rFonts w:hint="default" w:ascii="Times New Roman" w:hAnsi="Times New Roman"/>
                <w:sz w:val="21"/>
                <w:szCs w:val="21"/>
                <w:lang w:val="en-US" w:eastAsia="zh-CN"/>
              </w:rPr>
              <w:t>风险：客户对产品质量标准提高，材料要求环保材料，以及对供应周期和售后服务的期望值提升，给公司采购、销售和售后管理提出新的要求</w:t>
            </w:r>
          </w:p>
          <w:p>
            <w:pPr>
              <w:pStyle w:val="12"/>
              <w:spacing w:line="240" w:lineRule="auto"/>
              <w:rPr>
                <w:rFonts w:hint="default" w:ascii="Times New Roman" w:hAnsi="Times New Roman"/>
                <w:sz w:val="21"/>
                <w:szCs w:val="21"/>
                <w:lang w:val="en-US" w:eastAsia="zh-CN"/>
              </w:rPr>
            </w:pPr>
            <w:r>
              <w:rPr>
                <w:rFonts w:hint="eastAsia" w:ascii="Times New Roman" w:hAnsi="Times New Roman"/>
                <w:sz w:val="21"/>
                <w:szCs w:val="21"/>
                <w:lang w:val="en-US" w:eastAsia="zh-CN"/>
              </w:rPr>
              <w:t>措施</w:t>
            </w:r>
            <w:r>
              <w:rPr>
                <w:rFonts w:hint="default" w:ascii="Times New Roman" w:hAnsi="Times New Roman"/>
                <w:sz w:val="21"/>
                <w:szCs w:val="21"/>
                <w:lang w:val="en-US" w:eastAsia="zh-CN"/>
              </w:rPr>
              <w:t>：1.加强与客户进行质量标准制定的沟通，统一双方的标准和检测方法</w:t>
            </w:r>
            <w:r>
              <w:rPr>
                <w:rFonts w:hint="eastAsia" w:ascii="Times New Roman" w:hAnsi="Times New Roman"/>
                <w:sz w:val="21"/>
                <w:szCs w:val="21"/>
                <w:lang w:val="en-US" w:eastAsia="zh-CN"/>
              </w:rPr>
              <w:t>。</w:t>
            </w:r>
            <w:r>
              <w:rPr>
                <w:rFonts w:hint="default" w:ascii="Times New Roman" w:hAnsi="Times New Roman"/>
                <w:sz w:val="21"/>
                <w:szCs w:val="21"/>
                <w:lang w:val="en-US" w:eastAsia="zh-CN"/>
              </w:rPr>
              <w:t>2.供销部选择合格供方，采购环保达标的产品、确保采购符合顾客要求、法律法规环保要求，对供应周期提前策划，及时处理顾客的要求和意见</w:t>
            </w:r>
            <w:r>
              <w:rPr>
                <w:rFonts w:hint="eastAsia" w:ascii="Times New Roman" w:hAnsi="Times New Roman"/>
                <w:sz w:val="21"/>
                <w:szCs w:val="21"/>
                <w:lang w:val="en-US" w:eastAsia="zh-CN"/>
              </w:rPr>
              <w:t>。</w:t>
            </w:r>
          </w:p>
          <w:p>
            <w:pPr>
              <w:spacing w:line="240" w:lineRule="auto"/>
              <w:rPr>
                <w:sz w:val="21"/>
                <w:szCs w:val="21"/>
              </w:rPr>
            </w:pPr>
            <w:r>
              <w:rPr>
                <w:rFonts w:hint="eastAsia"/>
                <w:sz w:val="21"/>
                <w:szCs w:val="21"/>
              </w:rPr>
              <w:t>——基本满足要求。</w:t>
            </w:r>
          </w:p>
        </w:tc>
        <w:tc>
          <w:tcPr>
            <w:tcW w:w="1585" w:type="dxa"/>
          </w:tcPr>
          <w:p>
            <w:pPr>
              <w:spacing w:line="24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40" w:lineRule="auto"/>
              <w:rPr>
                <w:rFonts w:hint="eastAsia" w:ascii="宋体"/>
                <w:sz w:val="21"/>
                <w:szCs w:val="21"/>
              </w:rPr>
            </w:pPr>
            <w:r>
              <w:rPr>
                <w:rFonts w:hint="eastAsia" w:ascii="宋体"/>
                <w:sz w:val="21"/>
                <w:szCs w:val="21"/>
              </w:rPr>
              <w:t>管理体系范围确定的适宜性和充分性</w:t>
            </w:r>
          </w:p>
          <w:p>
            <w:pPr>
              <w:spacing w:line="240" w:lineRule="auto"/>
              <w:rPr>
                <w:rFonts w:hint="eastAsia" w:ascii="宋体"/>
                <w:sz w:val="21"/>
                <w:szCs w:val="21"/>
              </w:rPr>
            </w:pPr>
            <w:r>
              <w:rPr>
                <w:rFonts w:hint="eastAsia" w:ascii="宋体"/>
                <w:sz w:val="21"/>
                <w:szCs w:val="21"/>
              </w:rPr>
              <w:t>管理体系策划、建立、</w:t>
            </w:r>
          </w:p>
          <w:p>
            <w:pPr>
              <w:spacing w:line="240" w:lineRule="auto"/>
              <w:rPr>
                <w:rFonts w:hint="eastAsia" w:ascii="宋体"/>
                <w:sz w:val="21"/>
                <w:szCs w:val="21"/>
              </w:rPr>
            </w:pPr>
            <w:r>
              <w:rPr>
                <w:rFonts w:hint="eastAsia" w:ascii="宋体"/>
                <w:sz w:val="21"/>
                <w:szCs w:val="21"/>
              </w:rPr>
              <w:t>变更的策划</w:t>
            </w:r>
          </w:p>
          <w:p>
            <w:pPr>
              <w:spacing w:line="240" w:lineRule="auto"/>
              <w:rPr>
                <w:sz w:val="21"/>
                <w:szCs w:val="21"/>
              </w:rPr>
            </w:pPr>
            <w:r>
              <w:rPr>
                <w:rFonts w:hint="eastAsia" w:ascii="宋体"/>
                <w:sz w:val="21"/>
                <w:szCs w:val="21"/>
                <w:lang w:val="en-US" w:eastAsia="zh-CN"/>
              </w:rPr>
              <w:t>Q8.3不适用条款说明</w:t>
            </w:r>
          </w:p>
        </w:tc>
        <w:tc>
          <w:tcPr>
            <w:tcW w:w="960" w:type="dxa"/>
          </w:tcPr>
          <w:p>
            <w:pPr>
              <w:spacing w:line="240" w:lineRule="auto"/>
              <w:rPr>
                <w:rFonts w:hint="eastAsia"/>
                <w:lang w:val="en-US" w:eastAsia="zh-CN"/>
              </w:rPr>
            </w:pPr>
            <w:r>
              <w:rPr>
                <w:rFonts w:hint="eastAsia"/>
                <w:lang w:val="en-US" w:eastAsia="zh-CN"/>
              </w:rPr>
              <w:t>QES4.3/4.4;</w:t>
            </w:r>
          </w:p>
          <w:p>
            <w:pPr>
              <w:pStyle w:val="2"/>
              <w:rPr>
                <w:rFonts w:hint="default"/>
                <w:lang w:val="en-US" w:eastAsia="zh-CN"/>
              </w:rPr>
            </w:pPr>
            <w:r>
              <w:rPr>
                <w:rFonts w:hint="eastAsia"/>
                <w:sz w:val="21"/>
                <w:szCs w:val="21"/>
                <w:lang w:val="en-US" w:eastAsia="zh-CN"/>
              </w:rPr>
              <w:t>Q6.3</w:t>
            </w:r>
          </w:p>
        </w:tc>
        <w:tc>
          <w:tcPr>
            <w:tcW w:w="10004" w:type="dxa"/>
          </w:tcPr>
          <w:p>
            <w:pPr>
              <w:pStyle w:val="12"/>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---查：管理手册中1.3a）公司认证范围：</w:t>
            </w:r>
          </w:p>
          <w:p>
            <w:pPr>
              <w:pStyle w:val="12"/>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 服装（校服）、床上用品（棉被、棉垫、床单、被罩）的销售。</w:t>
            </w:r>
          </w:p>
          <w:p>
            <w:pPr>
              <w:pStyle w:val="12"/>
              <w:spacing w:line="240" w:lineRule="auto"/>
              <w:rPr>
                <w:rFonts w:hint="eastAsia" w:ascii="宋体" w:hAnsi="宋体" w:cs="宋体"/>
                <w:color w:val="auto"/>
                <w:sz w:val="21"/>
                <w:szCs w:val="21"/>
                <w:u w:val="none"/>
              </w:rPr>
            </w:pPr>
            <w:r>
              <w:rPr>
                <w:rFonts w:hint="eastAsia" w:ascii="Times New Roman" w:hAnsi="Times New Roman" w:eastAsia="宋体" w:cs="Times New Roman"/>
                <w:sz w:val="21"/>
                <w:szCs w:val="21"/>
                <w:lang w:val="en-US" w:eastAsia="zh-CN"/>
              </w:rPr>
              <w:t>E/O:服装（校服）、床上用品（棉被、棉垫、床单、被罩）的销售及其相关的环境和职业健康安全管理活动</w:t>
            </w:r>
            <w:r>
              <w:rPr>
                <w:rFonts w:hint="eastAsia" w:ascii="宋体" w:hAnsi="宋体" w:cs="宋体"/>
                <w:color w:val="auto"/>
                <w:sz w:val="21"/>
                <w:szCs w:val="21"/>
                <w:u w:val="none"/>
              </w:rPr>
              <w:t>；</w:t>
            </w:r>
          </w:p>
          <w:p>
            <w:pPr>
              <w:pStyle w:val="12"/>
              <w:spacing w:line="24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即：</w:t>
            </w:r>
          </w:p>
          <w:p>
            <w:pPr>
              <w:spacing w:line="240" w:lineRule="auto"/>
              <w:rPr>
                <w:sz w:val="21"/>
                <w:szCs w:val="21"/>
              </w:rPr>
            </w:pPr>
            <w:bookmarkStart w:id="2" w:name="审核范围"/>
            <w:r>
              <w:rPr>
                <w:sz w:val="21"/>
                <w:szCs w:val="21"/>
              </w:rPr>
              <w:t>Q：服装（校服）、床上用品（棉被、棉垫、床单、被罩）的销售</w:t>
            </w:r>
          </w:p>
          <w:p>
            <w:pPr>
              <w:spacing w:line="240" w:lineRule="auto"/>
              <w:rPr>
                <w:sz w:val="21"/>
                <w:szCs w:val="21"/>
              </w:rPr>
            </w:pPr>
            <w:r>
              <w:rPr>
                <w:sz w:val="21"/>
                <w:szCs w:val="21"/>
              </w:rPr>
              <w:t>E：服装（校服）、床上用品（棉被、棉垫、床单、被罩）的销售所涉及场所的相关环境管理活动</w:t>
            </w:r>
          </w:p>
          <w:p>
            <w:pPr>
              <w:pStyle w:val="12"/>
              <w:spacing w:line="240" w:lineRule="auto"/>
              <w:rPr>
                <w:sz w:val="21"/>
                <w:szCs w:val="21"/>
              </w:rPr>
            </w:pPr>
            <w:r>
              <w:rPr>
                <w:sz w:val="21"/>
                <w:szCs w:val="21"/>
              </w:rPr>
              <w:t>O：服装（校服）、床上用品（棉被、棉垫、床单、被罩）的销售所涉及场所相关的职业健康安全管理活动</w:t>
            </w:r>
            <w:bookmarkEnd w:id="2"/>
          </w:p>
          <w:p>
            <w:pPr>
              <w:spacing w:line="240" w:lineRule="auto"/>
              <w:ind w:firstLine="480"/>
              <w:rPr>
                <w:rFonts w:hint="eastAsia" w:ascii="宋体" w:hAnsi="宋体"/>
                <w:sz w:val="21"/>
                <w:szCs w:val="21"/>
              </w:rPr>
            </w:pPr>
            <w:r>
              <w:rPr>
                <w:rFonts w:hint="eastAsia" w:ascii="宋体" w:hAnsi="宋体" w:cs="宋体"/>
                <w:sz w:val="21"/>
                <w:szCs w:val="21"/>
              </w:rPr>
              <w:t>1.2应用</w:t>
            </w:r>
            <w:r>
              <w:rPr>
                <w:rFonts w:hint="eastAsia" w:ascii="黑体" w:hAnsi="黑体" w:eastAsia="黑体" w:cs="黑体"/>
                <w:color w:val="000000"/>
                <w:sz w:val="21"/>
                <w:szCs w:val="21"/>
                <w:lang w:val="en-US" w:eastAsia="zh-CN"/>
              </w:rPr>
              <w:t>：</w:t>
            </w:r>
            <w:r>
              <w:rPr>
                <w:rFonts w:hint="eastAsia" w:ascii="宋体" w:hAnsi="宋体"/>
                <w:sz w:val="21"/>
                <w:szCs w:val="21"/>
              </w:rPr>
              <w:t>根据公司产品和服务特点，标准中除了不适用公司质量管理体系范围的“8.3产品和服务的设计和开发”要求之外的所有条款均适用于公司并决定全部予以实施。应保持范围的文件和记录，并可为相关方获取。不适用理由是：本公司目前所销售产品</w:t>
            </w:r>
            <w:r>
              <w:rPr>
                <w:rFonts w:hint="eastAsia" w:ascii="宋体" w:hAnsi="宋体"/>
                <w:sz w:val="21"/>
                <w:szCs w:val="21"/>
                <w:lang w:val="en-US" w:eastAsia="zh-CN"/>
              </w:rPr>
              <w:t>市场稳定</w:t>
            </w:r>
            <w:r>
              <w:rPr>
                <w:rFonts w:hint="eastAsia" w:ascii="宋体" w:hAnsi="宋体"/>
                <w:sz w:val="21"/>
                <w:szCs w:val="21"/>
              </w:rPr>
              <w:t>，无设计开发责任。不适用8.3条款不影响公司确保其产品和服务合格以及增强顾客满意的能力或责任。</w:t>
            </w:r>
          </w:p>
          <w:p>
            <w:pPr>
              <w:pStyle w:val="12"/>
              <w:spacing w:line="240" w:lineRule="auto"/>
              <w:rPr>
                <w:rFonts w:hint="default" w:ascii="Times New Roman" w:hAnsi="Times New Roman"/>
                <w:sz w:val="21"/>
                <w:szCs w:val="21"/>
                <w:lang w:val="en-US" w:eastAsia="zh-CN"/>
              </w:rPr>
            </w:pPr>
            <w:r>
              <w:rPr>
                <w:rFonts w:hint="eastAsia" w:ascii="Times New Roman" w:hAnsi="Times New Roman"/>
                <w:sz w:val="21"/>
                <w:szCs w:val="21"/>
                <w:lang w:val="en-US" w:eastAsia="zh-CN"/>
              </w:rPr>
              <w:t>物理边界：</w:t>
            </w:r>
          </w:p>
          <w:p>
            <w:pPr>
              <w:pStyle w:val="12"/>
              <w:spacing w:line="240" w:lineRule="auto"/>
              <w:rPr>
                <w:rFonts w:hint="eastAsia" w:ascii="Times New Roman" w:hAnsi="Times New Roman" w:cs="Times New Roman" w:eastAsiaTheme="minorEastAsia"/>
                <w:sz w:val="21"/>
                <w:szCs w:val="21"/>
                <w:lang w:val="en-US" w:eastAsia="zh-CN"/>
              </w:rPr>
            </w:pPr>
            <w:r>
              <w:rPr>
                <w:rFonts w:hint="eastAsia" w:ascii="Times New Roman" w:hAnsi="Times New Roman" w:eastAsia="宋体" w:cs="Times New Roman"/>
                <w:sz w:val="21"/>
                <w:szCs w:val="21"/>
                <w:lang w:val="en-US" w:eastAsia="zh-CN"/>
              </w:rPr>
              <w:t>注册地址：</w:t>
            </w:r>
            <w:bookmarkStart w:id="3" w:name="注册地址"/>
            <w:r>
              <w:rPr>
                <w:rFonts w:asciiTheme="minorEastAsia" w:hAnsiTheme="minorEastAsia" w:eastAsiaTheme="minorEastAsia"/>
                <w:sz w:val="21"/>
                <w:szCs w:val="21"/>
              </w:rPr>
              <w:t>河北省衡水市饶阳县大尹村镇大迁民村38号</w:t>
            </w:r>
            <w:bookmarkEnd w:id="3"/>
            <w:r>
              <w:rPr>
                <w:rFonts w:hint="eastAsia" w:asciiTheme="minorEastAsia" w:hAnsiTheme="minorEastAsia" w:eastAsiaTheme="minorEastAsia"/>
                <w:sz w:val="21"/>
                <w:szCs w:val="21"/>
                <w:lang w:eastAsia="zh-CN"/>
              </w:rPr>
              <w:t>；</w:t>
            </w:r>
          </w:p>
          <w:p>
            <w:pPr>
              <w:pStyle w:val="12"/>
              <w:spacing w:line="24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办公地址：</w:t>
            </w:r>
            <w:r>
              <w:rPr>
                <w:rFonts w:asciiTheme="minorEastAsia" w:hAnsiTheme="minorEastAsia" w:eastAsiaTheme="minorEastAsia"/>
                <w:sz w:val="21"/>
                <w:szCs w:val="21"/>
              </w:rPr>
              <w:t>河北省衡水市饶阳县大尹村镇大迁民村38号</w:t>
            </w:r>
            <w:r>
              <w:rPr>
                <w:rFonts w:hint="eastAsia" w:ascii="Times New Roman" w:hAnsi="Times New Roman" w:cs="Times New Roman"/>
                <w:sz w:val="21"/>
                <w:szCs w:val="21"/>
                <w:lang w:val="en-US" w:eastAsia="zh-CN"/>
              </w:rPr>
              <w:t>；</w:t>
            </w:r>
          </w:p>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经识别的外包过程：</w:t>
            </w:r>
            <w:r>
              <w:rPr>
                <w:rFonts w:hint="eastAsia" w:cs="Times New Roman"/>
                <w:sz w:val="21"/>
                <w:szCs w:val="21"/>
                <w:lang w:val="en-US" w:eastAsia="zh-CN"/>
              </w:rPr>
              <w:t>负责人表述，</w:t>
            </w:r>
            <w:r>
              <w:rPr>
                <w:rFonts w:hint="eastAsia" w:ascii="宋体" w:hAnsi="宋体" w:cs="宋体"/>
                <w:kern w:val="0"/>
                <w:sz w:val="21"/>
                <w:szCs w:val="21"/>
              </w:rPr>
              <w:t>公司</w:t>
            </w:r>
            <w:r>
              <w:rPr>
                <w:rFonts w:hint="eastAsia" w:ascii="宋体" w:hAnsi="宋体" w:cs="宋体"/>
                <w:kern w:val="0"/>
                <w:sz w:val="21"/>
                <w:szCs w:val="21"/>
                <w:lang w:val="en-US" w:eastAsia="zh-CN"/>
              </w:rPr>
              <w:t>业务为服装和床上用品</w:t>
            </w:r>
            <w:r>
              <w:rPr>
                <w:rFonts w:hint="default" w:ascii="Times New Roman" w:hAnsi="Times New Roman" w:eastAsia="宋体" w:cs="Times New Roman"/>
                <w:sz w:val="21"/>
                <w:szCs w:val="21"/>
                <w:lang w:val="en-US" w:eastAsia="zh-CN"/>
              </w:rPr>
              <w:t>的销售</w:t>
            </w:r>
            <w:r>
              <w:rPr>
                <w:rFonts w:hint="eastAsia" w:ascii="宋体" w:hAnsi="宋体" w:cs="宋体"/>
                <w:kern w:val="0"/>
                <w:sz w:val="21"/>
                <w:szCs w:val="21"/>
              </w:rPr>
              <w:t>，暂无外包过程发生</w:t>
            </w:r>
            <w:r>
              <w:rPr>
                <w:rFonts w:hint="eastAsia" w:ascii="宋体" w:hAnsi="宋体" w:cs="宋体"/>
                <w:sz w:val="21"/>
                <w:szCs w:val="21"/>
              </w:rPr>
              <w:t>。</w:t>
            </w:r>
          </w:p>
          <w:p>
            <w:pPr>
              <w:pStyle w:val="12"/>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lang w:val="en-US" w:eastAsia="zh-CN"/>
              </w:rPr>
              <w:t>查组织机构图：覆盖的部门为总经理领导下的</w:t>
            </w:r>
            <w:r>
              <w:rPr>
                <w:rFonts w:hint="eastAsia" w:ascii="Times New Roman" w:hAnsi="Times New Roman" w:cs="Times New Roman"/>
                <w:sz w:val="21"/>
                <w:szCs w:val="21"/>
                <w:lang w:val="en-US" w:eastAsia="zh-CN"/>
              </w:rPr>
              <w:t>办公室和购销部</w:t>
            </w:r>
            <w:r>
              <w:rPr>
                <w:rFonts w:hint="eastAsia" w:ascii="Times New Roman" w:hAnsi="Times New Roman" w:eastAsia="宋体" w:cs="Times New Roman"/>
                <w:sz w:val="21"/>
                <w:szCs w:val="21"/>
                <w:lang w:val="en-US" w:eastAsia="zh-CN"/>
              </w:rPr>
              <w:t>组成。</w:t>
            </w:r>
          </w:p>
          <w:p>
            <w:pPr>
              <w:pStyle w:val="12"/>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——针对上述范围再一次与总经理进行了确认。</w:t>
            </w:r>
          </w:p>
          <w:p>
            <w:pPr>
              <w:pStyle w:val="12"/>
              <w:spacing w:line="240" w:lineRule="auto"/>
              <w:rPr>
                <w:rFonts w:hint="eastAsia" w:ascii="Times New Roman" w:hAnsi="Times New Roman" w:eastAsia="宋体" w:cs="Times New Roman"/>
                <w:sz w:val="21"/>
                <w:szCs w:val="21"/>
                <w:lang w:val="en-US" w:eastAsia="zh-CN"/>
              </w:rPr>
            </w:pPr>
          </w:p>
          <w:p>
            <w:pPr>
              <w:spacing w:line="240" w:lineRule="auto"/>
              <w:jc w:val="left"/>
              <w:rPr>
                <w:sz w:val="21"/>
                <w:szCs w:val="21"/>
              </w:rPr>
            </w:pPr>
            <w:r>
              <w:rPr>
                <w:rFonts w:hint="eastAsia"/>
                <w:sz w:val="21"/>
                <w:szCs w:val="21"/>
                <w:lang w:val="en-US" w:eastAsia="zh-CN"/>
              </w:rPr>
              <w:t>--</w:t>
            </w:r>
            <w:r>
              <w:rPr>
                <w:rFonts w:hint="eastAsia"/>
                <w:sz w:val="21"/>
                <w:szCs w:val="21"/>
              </w:rPr>
              <w:t>建立管理体系的目的：</w:t>
            </w:r>
          </w:p>
          <w:p>
            <w:pPr>
              <w:spacing w:line="240" w:lineRule="auto"/>
              <w:jc w:val="left"/>
              <w:rPr>
                <w:rFonts w:hint="eastAsia" w:eastAsia="宋体"/>
                <w:sz w:val="21"/>
                <w:szCs w:val="21"/>
                <w:lang w:eastAsia="zh-CN"/>
              </w:rPr>
            </w:pPr>
            <w:r>
              <w:rPr>
                <w:rFonts w:hint="eastAsia"/>
                <w:sz w:val="21"/>
                <w:szCs w:val="21"/>
              </w:rPr>
              <w:t>公司领导说明根据行业招投标要求建立管理体系，也是为了进一步规范企业的管理</w:t>
            </w:r>
            <w:r>
              <w:rPr>
                <w:rFonts w:hint="eastAsia"/>
                <w:sz w:val="21"/>
                <w:szCs w:val="21"/>
                <w:lang w:eastAsia="zh-CN"/>
              </w:rPr>
              <w:t>。</w:t>
            </w:r>
          </w:p>
          <w:p>
            <w:pPr>
              <w:pStyle w:val="12"/>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--建立了管理体系文件，包括：管理手册、程序文件、管理制度汇编--等。</w:t>
            </w:r>
          </w:p>
          <w:p>
            <w:pPr>
              <w:pStyle w:val="12"/>
              <w:spacing w:line="240" w:lineRule="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lang w:val="en-US" w:eastAsia="zh-CN"/>
              </w:rPr>
              <w:t>在管理手册中包括QES整合的方针和目标、组织机构、职能分配表、各部门职责、流程图、管理体系要求等。</w:t>
            </w:r>
          </w:p>
          <w:p>
            <w:pPr>
              <w:pStyle w:val="12"/>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--主要产品实现过程为：</w:t>
            </w:r>
          </w:p>
          <w:p>
            <w:pPr>
              <w:pStyle w:val="12"/>
              <w:spacing w:line="240" w:lineRule="auto"/>
              <w:ind w:firstLine="420" w:firstLineChars="200"/>
              <w:rPr>
                <w:rFonts w:hint="eastAsia" w:ascii="Times New Roman" w:hAnsi="Times New Roman"/>
                <w:sz w:val="21"/>
                <w:szCs w:val="21"/>
              </w:rPr>
            </w:pPr>
            <w:r>
              <w:rPr>
                <w:rFonts w:hint="eastAsia" w:ascii="Times New Roman" w:hAnsi="Times New Roman"/>
                <w:sz w:val="21"/>
                <w:szCs w:val="21"/>
              </w:rPr>
              <w:t>顾客需求-合同评审-签订合同-产品采购-</w:t>
            </w:r>
            <w:r>
              <w:rPr>
                <w:rFonts w:hint="eastAsia" w:ascii="Times New Roman" w:hAnsi="Times New Roman"/>
                <w:sz w:val="21"/>
                <w:szCs w:val="21"/>
                <w:lang w:val="en-US" w:eastAsia="zh-CN"/>
              </w:rPr>
              <w:t>供方发货</w:t>
            </w:r>
            <w:r>
              <w:rPr>
                <w:rFonts w:hint="eastAsia" w:ascii="Times New Roman" w:hAnsi="Times New Roman"/>
                <w:sz w:val="21"/>
                <w:szCs w:val="21"/>
              </w:rPr>
              <w:t>-</w:t>
            </w:r>
            <w:r>
              <w:rPr>
                <w:rFonts w:hint="eastAsia" w:ascii="Times New Roman" w:hAnsi="Times New Roman"/>
                <w:sz w:val="21"/>
                <w:szCs w:val="21"/>
                <w:lang w:val="en-US" w:eastAsia="zh-CN"/>
              </w:rPr>
              <w:t>客户验收</w:t>
            </w:r>
            <w:r>
              <w:rPr>
                <w:rFonts w:hint="eastAsia" w:ascii="Times New Roman" w:hAnsi="Times New Roman"/>
                <w:sz w:val="21"/>
                <w:szCs w:val="21"/>
              </w:rPr>
              <w:t>-售后服务。</w:t>
            </w:r>
          </w:p>
          <w:p>
            <w:pPr>
              <w:pStyle w:val="12"/>
              <w:spacing w:line="240" w:lineRule="auto"/>
              <w:rPr>
                <w:rFonts w:hint="eastAsia" w:ascii="Times New Roman" w:hAnsi="Times New Roman" w:cs="Times New Roman"/>
                <w:sz w:val="21"/>
                <w:szCs w:val="21"/>
                <w:lang w:val="en-US" w:eastAsia="zh-CN"/>
              </w:rPr>
            </w:pPr>
            <w:r>
              <w:rPr>
                <w:rFonts w:hint="eastAsia" w:ascii="Times New Roman" w:hAnsi="Times New Roman" w:eastAsia="宋体" w:cs="Times New Roman"/>
                <w:sz w:val="21"/>
                <w:szCs w:val="21"/>
                <w:lang w:val="en-US" w:eastAsia="zh-CN"/>
              </w:rPr>
              <w:t>--确认过程：销售过程</w:t>
            </w:r>
            <w:r>
              <w:rPr>
                <w:rFonts w:hint="eastAsia" w:ascii="Times New Roman" w:hAnsi="Times New Roman" w:cs="Times New Roman"/>
                <w:sz w:val="21"/>
                <w:szCs w:val="21"/>
                <w:lang w:val="en-US" w:eastAsia="zh-CN"/>
              </w:rPr>
              <w:t>。</w:t>
            </w:r>
          </w:p>
          <w:p>
            <w:pPr>
              <w:pStyle w:val="12"/>
              <w:spacing w:line="240" w:lineRule="auto"/>
              <w:rPr>
                <w:rFonts w:hint="eastAsia" w:ascii="Times New Roman" w:hAnsi="Times New Roman" w:cs="Times New Roman"/>
                <w:sz w:val="21"/>
                <w:szCs w:val="21"/>
                <w:lang w:val="en-US" w:eastAsia="zh-CN"/>
              </w:rPr>
            </w:pPr>
          </w:p>
          <w:p>
            <w:pPr>
              <w:pStyle w:val="12"/>
              <w:spacing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---变更的策划：领导说明建立管理体系至今无变化.</w:t>
            </w:r>
          </w:p>
          <w:p>
            <w:pPr>
              <w:spacing w:line="240" w:lineRule="auto"/>
              <w:rPr>
                <w:sz w:val="21"/>
                <w:szCs w:val="21"/>
              </w:rPr>
            </w:pPr>
            <w:r>
              <w:rPr>
                <w:rFonts w:hint="eastAsia" w:ascii="Times New Roman" w:hAnsi="Times New Roman" w:eastAsia="宋体" w:cs="Times New Roman"/>
                <w:sz w:val="21"/>
                <w:szCs w:val="21"/>
                <w:lang w:val="en-US" w:eastAsia="zh-CN"/>
              </w:rPr>
              <w:t>——上述经本次</w:t>
            </w:r>
            <w:r>
              <w:rPr>
                <w:rFonts w:hint="eastAsia" w:ascii="Times New Roman" w:hAnsi="Times New Roman" w:cs="Times New Roman"/>
                <w:sz w:val="21"/>
                <w:szCs w:val="21"/>
                <w:lang w:val="en-US" w:eastAsia="zh-CN"/>
              </w:rPr>
              <w:t>远程</w:t>
            </w:r>
            <w:r>
              <w:rPr>
                <w:rFonts w:hint="eastAsia" w:ascii="Times New Roman" w:hAnsi="Times New Roman" w:eastAsia="宋体" w:cs="Times New Roman"/>
                <w:sz w:val="21"/>
                <w:szCs w:val="21"/>
                <w:lang w:val="en-US" w:eastAsia="zh-CN"/>
              </w:rPr>
              <w:t>审核确认有效</w:t>
            </w:r>
            <w:r>
              <w:rPr>
                <w:rFonts w:hint="eastAsia" w:ascii="Times New Roman" w:hAnsi="Times New Roman" w:cs="Times New Roman"/>
                <w:sz w:val="21"/>
                <w:szCs w:val="21"/>
                <w:lang w:val="en-US" w:eastAsia="zh-CN"/>
              </w:rPr>
              <w:t>。</w:t>
            </w:r>
          </w:p>
        </w:tc>
        <w:tc>
          <w:tcPr>
            <w:tcW w:w="1585" w:type="dxa"/>
          </w:tcPr>
          <w:p>
            <w:pPr>
              <w:spacing w:line="24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rPr>
            </w:pPr>
            <w:r>
              <w:rPr>
                <w:rFonts w:hint="eastAsia"/>
              </w:rPr>
              <w:t>领导作用和承诺</w:t>
            </w:r>
          </w:p>
          <w:p>
            <w:pPr>
              <w:spacing w:line="240" w:lineRule="auto"/>
              <w:rPr>
                <w:rFonts w:hint="eastAsia"/>
              </w:rPr>
            </w:pPr>
            <w:r>
              <w:rPr>
                <w:rFonts w:hint="eastAsia"/>
              </w:rPr>
              <w:t>岗位、职责、责任和权限</w:t>
            </w:r>
          </w:p>
          <w:p>
            <w:pPr>
              <w:pStyle w:val="2"/>
            </w:pPr>
            <w:r>
              <w:rPr>
                <w:rFonts w:hint="eastAsia"/>
              </w:rPr>
              <w:t>工作人员的协商和参与</w:t>
            </w:r>
          </w:p>
        </w:tc>
        <w:tc>
          <w:tcPr>
            <w:tcW w:w="960" w:type="dxa"/>
          </w:tcPr>
          <w:p>
            <w:pPr>
              <w:spacing w:line="240" w:lineRule="auto"/>
              <w:rPr>
                <w:rFonts w:hint="eastAsia"/>
                <w:lang w:val="en-US" w:eastAsia="zh-CN"/>
              </w:rPr>
            </w:pPr>
            <w:r>
              <w:rPr>
                <w:rFonts w:hint="eastAsia"/>
                <w:lang w:val="en-US" w:eastAsia="zh-CN"/>
              </w:rPr>
              <w:t>QES5.1/5.3</w:t>
            </w:r>
          </w:p>
          <w:p>
            <w:pPr>
              <w:pStyle w:val="2"/>
              <w:rPr>
                <w:rFonts w:hint="default"/>
                <w:lang w:val="en-US" w:eastAsia="zh-CN"/>
              </w:rPr>
            </w:pPr>
            <w:r>
              <w:rPr>
                <w:rFonts w:hint="eastAsia"/>
                <w:sz w:val="21"/>
                <w:szCs w:val="21"/>
                <w:lang w:val="en-US" w:eastAsia="zh-CN"/>
              </w:rPr>
              <w:t>S5.4</w:t>
            </w:r>
          </w:p>
        </w:tc>
        <w:tc>
          <w:tcPr>
            <w:tcW w:w="10004" w:type="dxa"/>
          </w:tcPr>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―查“质量/环境/职业健安全管理手册”中包括管理体系标准要求的领导作用和承诺内容</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查管理手册中包括管理者代表任命书，并规定了其职责，管代口述职责，正确</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查管理手册中包括员工代表任命书，并规定了其职责，员工代表口述职责，正确</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查管理手册中包括ＱＥＳ方针、目标、组织机构、职责等</w:t>
            </w:r>
            <w:r>
              <w:rPr>
                <w:rFonts w:hint="eastAsia" w:ascii="Times New Roman" w:hAnsi="Times New Roman" w:eastAsia="宋体" w:cs="Times New Roman"/>
                <w:sz w:val="21"/>
                <w:szCs w:val="21"/>
                <w:lang w:eastAsia="zh-CN"/>
              </w:rPr>
              <w:t>。</w:t>
            </w:r>
          </w:p>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---查顾客满意度统计及分析报告，调查与分析结果，实现预期。</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能够提供管理体系建立、运行的资源；实施内审、管理评审等。</w:t>
            </w:r>
          </w:p>
          <w:p>
            <w:pPr>
              <w:spacing w:line="240" w:lineRule="auto"/>
              <w:jc w:val="left"/>
              <w:rPr>
                <w:rFonts w:hint="default" w:eastAsia="宋体"/>
                <w:sz w:val="21"/>
                <w:szCs w:val="21"/>
                <w:lang w:val="en-US"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符合</w:t>
            </w:r>
          </w:p>
        </w:tc>
        <w:tc>
          <w:tcPr>
            <w:tcW w:w="1585" w:type="dxa"/>
          </w:tcPr>
          <w:p>
            <w:pPr>
              <w:spacing w:line="24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sz w:val="21"/>
                <w:szCs w:val="21"/>
              </w:rPr>
            </w:pPr>
            <w:r>
              <w:rPr>
                <w:rFonts w:hint="eastAsia" w:ascii="宋体" w:hAnsi="宋体"/>
              </w:rPr>
              <w:t>管理方针、目标</w:t>
            </w:r>
          </w:p>
        </w:tc>
        <w:tc>
          <w:tcPr>
            <w:tcW w:w="960" w:type="dxa"/>
          </w:tcPr>
          <w:p>
            <w:pPr>
              <w:spacing w:line="240" w:lineRule="auto"/>
              <w:rPr>
                <w:rFonts w:hint="default"/>
                <w:lang w:val="en-US" w:eastAsia="zh-CN"/>
              </w:rPr>
            </w:pPr>
            <w:r>
              <w:rPr>
                <w:rFonts w:hint="eastAsia"/>
                <w:lang w:val="en-US" w:eastAsia="zh-CN"/>
              </w:rPr>
              <w:t>QES5.2/6.2</w:t>
            </w:r>
          </w:p>
          <w:p>
            <w:pPr>
              <w:spacing w:line="240" w:lineRule="auto"/>
              <w:rPr>
                <w:sz w:val="21"/>
                <w:szCs w:val="21"/>
              </w:rPr>
            </w:pPr>
          </w:p>
        </w:tc>
        <w:tc>
          <w:tcPr>
            <w:tcW w:w="10004" w:type="dxa"/>
          </w:tcPr>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在管理手册中建立公司的质量、环境和职业健康安全管理方针和目标，基本适宜</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A 管理方针：</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质量方针</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把握市场靠质量</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客户满意靠真诚</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持续改进靠管理</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环境方针</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遵守法律法规；节能降耗减排</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增强环保意识；实现持续发展</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职业健康安全管理方针</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保障健康  安全服务</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以人为本  永续发展</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遵守法规  持续改进</w:t>
            </w:r>
          </w:p>
          <w:p>
            <w:pPr>
              <w:spacing w:line="240" w:lineRule="auto"/>
              <w:jc w:val="left"/>
              <w:rPr>
                <w:rFonts w:hint="eastAsia" w:ascii="Times New Roman" w:hAnsi="Times New Roman" w:eastAsia="宋体" w:cs="Times New Roman"/>
                <w:sz w:val="21"/>
                <w:szCs w:val="21"/>
                <w:lang w:eastAsia="zh-CN"/>
              </w:rPr>
            </w:pPr>
            <w:r>
              <w:rPr>
                <w:rFonts w:hint="eastAsia" w:cs="Times New Roman"/>
                <w:sz w:val="21"/>
                <w:szCs w:val="21"/>
                <w:lang w:val="en-US" w:eastAsia="zh-CN"/>
              </w:rPr>
              <w:t>——</w:t>
            </w:r>
            <w:r>
              <w:rPr>
                <w:rFonts w:hint="eastAsia" w:ascii="Times New Roman" w:hAnsi="Times New Roman" w:eastAsia="宋体" w:cs="Times New Roman"/>
                <w:sz w:val="21"/>
                <w:szCs w:val="21"/>
              </w:rPr>
              <w:t>ＱＥＳ方针与公司战略相适宜</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B 管理目标</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1、销售产品交付顾客验收合格率100%</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2、顾客满意度≥90%</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3、不发生重大环境事故；</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4、不发生职业健康安全事件；</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5、不发生职业病。</w:t>
            </w:r>
          </w:p>
          <w:p>
            <w:pPr>
              <w:spacing w:line="240" w:lineRule="auto"/>
              <w:jc w:val="left"/>
              <w:rPr>
                <w:rFonts w:hint="eastAsia" w:eastAsia="宋体"/>
                <w:lang w:eastAsia="zh-CN"/>
              </w:rPr>
            </w:pPr>
            <w:r>
              <w:rPr>
                <w:rFonts w:hint="eastAsia" w:cs="Times New Roman"/>
                <w:sz w:val="21"/>
                <w:szCs w:val="21"/>
                <w:lang w:val="en-US" w:eastAsia="zh-CN"/>
              </w:rPr>
              <w:t>——</w:t>
            </w:r>
            <w:r>
              <w:rPr>
                <w:rFonts w:hint="eastAsia" w:ascii="Times New Roman" w:hAnsi="Times New Roman" w:eastAsia="宋体" w:cs="Times New Roman"/>
                <w:sz w:val="21"/>
                <w:szCs w:val="21"/>
              </w:rPr>
              <w:t>目标可测量</w:t>
            </w:r>
            <w:r>
              <w:rPr>
                <w:rFonts w:hint="eastAsia"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通过发放文件、会议（每周部门会议，每月公司会议）、培训等方式向员工传达，使得员工理解和应用</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建立管理体系，以实现公司的目标</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管理评审中对适宜性进行评审</w:t>
            </w:r>
            <w:r>
              <w:rPr>
                <w:rFonts w:hint="eastAsia" w:ascii="Times New Roman" w:hAnsi="Times New Roman" w:eastAsia="宋体" w:cs="Times New Roman"/>
                <w:sz w:val="21"/>
                <w:szCs w:val="21"/>
                <w:lang w:eastAsia="zh-CN"/>
              </w:rPr>
              <w:t>。</w:t>
            </w:r>
          </w:p>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管理方针、目标</w:t>
            </w:r>
            <w:r>
              <w:rPr>
                <w:rFonts w:hint="eastAsia" w:ascii="Times New Roman" w:hAnsi="Times New Roman" w:eastAsia="宋体" w:cs="Times New Roman"/>
                <w:sz w:val="21"/>
                <w:szCs w:val="21"/>
                <w:lang w:val="en-US" w:eastAsia="zh-CN"/>
              </w:rPr>
              <w:t>及其实现的策划基本有效。</w:t>
            </w:r>
          </w:p>
        </w:tc>
        <w:tc>
          <w:tcPr>
            <w:tcW w:w="1585" w:type="dxa"/>
          </w:tcPr>
          <w:p>
            <w:pPr>
              <w:spacing w:line="24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ascii="宋体" w:hAnsi="宋体" w:eastAsia="宋体"/>
                <w:lang w:val="en-US" w:eastAsia="zh-CN"/>
              </w:rPr>
            </w:pPr>
            <w:r>
              <w:rPr>
                <w:rFonts w:hint="eastAsia" w:ascii="宋体" w:hAnsi="宋体"/>
                <w:highlight w:val="none"/>
                <w:lang w:val="en-US" w:eastAsia="zh-CN"/>
              </w:rPr>
              <w:t>资源</w:t>
            </w:r>
          </w:p>
        </w:tc>
        <w:tc>
          <w:tcPr>
            <w:tcW w:w="960" w:type="dxa"/>
          </w:tcPr>
          <w:p>
            <w:pPr>
              <w:spacing w:line="240" w:lineRule="auto"/>
              <w:rPr>
                <w:rFonts w:hint="eastAsia"/>
                <w:lang w:val="en-US" w:eastAsia="zh-CN"/>
              </w:rPr>
            </w:pPr>
            <w:r>
              <w:rPr>
                <w:rFonts w:hint="eastAsia"/>
                <w:lang w:val="en-US" w:eastAsia="zh-CN"/>
              </w:rPr>
              <w:t>Q7.1</w:t>
            </w:r>
          </w:p>
          <w:p>
            <w:pPr>
              <w:pStyle w:val="2"/>
              <w:rPr>
                <w:rFonts w:hint="default"/>
                <w:lang w:val="en-US" w:eastAsia="zh-CN"/>
              </w:rPr>
            </w:pPr>
            <w:r>
              <w:rPr>
                <w:rFonts w:hint="eastAsia"/>
                <w:lang w:val="en-US" w:eastAsia="zh-CN"/>
              </w:rPr>
              <w:t>ES7.1.1</w:t>
            </w:r>
          </w:p>
          <w:p>
            <w:pPr>
              <w:pStyle w:val="2"/>
              <w:rPr>
                <w:rFonts w:hint="default"/>
                <w:lang w:val="en-US" w:eastAsia="zh-CN"/>
              </w:rPr>
            </w:pPr>
          </w:p>
        </w:tc>
        <w:tc>
          <w:tcPr>
            <w:tcW w:w="10004" w:type="dxa"/>
          </w:tcPr>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highlight w:val="none"/>
              </w:rPr>
              <w:t>办公面积约</w:t>
            </w:r>
            <w:r>
              <w:rPr>
                <w:rFonts w:hint="eastAsia" w:cs="Times New Roman"/>
                <w:sz w:val="21"/>
                <w:szCs w:val="21"/>
                <w:highlight w:val="none"/>
                <w:lang w:val="en-US" w:eastAsia="zh-CN"/>
              </w:rPr>
              <w:t>100</w:t>
            </w:r>
            <w:r>
              <w:rPr>
                <w:rFonts w:hint="eastAsia" w:ascii="Times New Roman" w:hAnsi="Times New Roman" w:eastAsia="宋体" w:cs="Times New Roman"/>
                <w:sz w:val="21"/>
                <w:szCs w:val="21"/>
                <w:highlight w:val="none"/>
              </w:rPr>
              <w:t>平方米。</w:t>
            </w:r>
            <w:r>
              <w:rPr>
                <w:rFonts w:hint="eastAsia" w:ascii="Times New Roman" w:hAnsi="Times New Roman" w:eastAsia="宋体" w:cs="Times New Roman"/>
                <w:sz w:val="21"/>
                <w:szCs w:val="21"/>
                <w:highlight w:val="none"/>
                <w:lang w:val="en-US" w:eastAsia="zh-CN"/>
              </w:rPr>
              <w:t>电脑3台，打印机1台</w:t>
            </w:r>
            <w:r>
              <w:rPr>
                <w:rFonts w:hint="eastAsia" w:cs="Times New Roman"/>
                <w:sz w:val="21"/>
                <w:szCs w:val="21"/>
                <w:highlight w:val="none"/>
                <w:lang w:val="en-US" w:eastAsia="zh-CN"/>
              </w:rPr>
              <w:t>，全套办公家具，待客用茶水间</w:t>
            </w:r>
            <w:r>
              <w:rPr>
                <w:rFonts w:hint="eastAsia" w:ascii="Times New Roman" w:hAnsi="Times New Roman" w:eastAsia="宋体" w:cs="Times New Roman"/>
                <w:sz w:val="21"/>
                <w:szCs w:val="21"/>
                <w:highlight w:val="none"/>
                <w:lang w:val="en-US" w:eastAsia="zh-CN"/>
              </w:rPr>
              <w:t>；垃圾篓</w:t>
            </w:r>
            <w:r>
              <w:rPr>
                <w:rFonts w:hint="eastAsia" w:cs="Times New Roman"/>
                <w:sz w:val="21"/>
                <w:szCs w:val="21"/>
                <w:highlight w:val="none"/>
                <w:lang w:val="en-US" w:eastAsia="zh-CN"/>
              </w:rPr>
              <w:t>/桶6</w:t>
            </w:r>
            <w:r>
              <w:rPr>
                <w:rFonts w:hint="eastAsia" w:ascii="Times New Roman" w:hAnsi="Times New Roman" w:eastAsia="宋体" w:cs="Times New Roman"/>
                <w:sz w:val="21"/>
                <w:szCs w:val="21"/>
                <w:highlight w:val="none"/>
                <w:lang w:val="en-US" w:eastAsia="zh-CN"/>
              </w:rPr>
              <w:t>个，灭火器</w:t>
            </w:r>
            <w:r>
              <w:rPr>
                <w:rFonts w:hint="eastAsia" w:cs="Times New Roman"/>
                <w:sz w:val="21"/>
                <w:szCs w:val="21"/>
                <w:highlight w:val="none"/>
                <w:lang w:val="en-US" w:eastAsia="zh-CN"/>
              </w:rPr>
              <w:t>12</w:t>
            </w:r>
            <w:r>
              <w:rPr>
                <w:rFonts w:hint="eastAsia" w:ascii="Times New Roman" w:hAnsi="Times New Roman" w:eastAsia="宋体" w:cs="Times New Roman"/>
                <w:sz w:val="21"/>
                <w:szCs w:val="21"/>
                <w:highlight w:val="none"/>
                <w:lang w:val="en-US" w:eastAsia="zh-CN"/>
              </w:rPr>
              <w:t>只</w:t>
            </w:r>
            <w:r>
              <w:rPr>
                <w:rFonts w:hint="eastAsia" w:cs="Times New Roman"/>
                <w:sz w:val="21"/>
                <w:szCs w:val="21"/>
                <w:highlight w:val="none"/>
                <w:lang w:val="en-US" w:eastAsia="zh-CN"/>
              </w:rPr>
              <w:t>，员工私家车2</w:t>
            </w:r>
            <w:r>
              <w:rPr>
                <w:rFonts w:hint="eastAsia" w:ascii="Times New Roman" w:hAnsi="Times New Roman" w:eastAsia="宋体" w:cs="Times New Roman"/>
                <w:sz w:val="21"/>
                <w:szCs w:val="21"/>
                <w:highlight w:val="none"/>
              </w:rPr>
              <w:t>辆</w:t>
            </w:r>
            <w:r>
              <w:rPr>
                <w:rFonts w:hint="eastAsia" w:ascii="Times New Roman" w:hAnsi="Times New Roman" w:eastAsia="宋体" w:cs="Times New Roman"/>
                <w:sz w:val="21"/>
                <w:szCs w:val="21"/>
                <w:highlight w:val="none"/>
                <w:lang w:val="en-US" w:eastAsia="zh-CN"/>
              </w:rPr>
              <w:t>；</w:t>
            </w:r>
            <w:r>
              <w:rPr>
                <w:rFonts w:hint="eastAsia" w:ascii="Times New Roman" w:hAnsi="Times New Roman" w:eastAsia="宋体" w:cs="Times New Roman"/>
                <w:sz w:val="21"/>
                <w:szCs w:val="21"/>
                <w:lang w:val="en-US" w:eastAsia="zh-CN"/>
              </w:rPr>
              <w:t>公司共有员工8人，其中总经理1名，供销部及办公室经理各1名。</w:t>
            </w:r>
            <w:r>
              <w:rPr>
                <w:rFonts w:hint="eastAsia" w:cs="Times New Roman"/>
                <w:sz w:val="21"/>
                <w:szCs w:val="21"/>
                <w:lang w:val="en-US" w:eastAsia="zh-CN"/>
              </w:rPr>
              <w:t>——经专业审核员确认，资源配备满足行业现规模企业经营需求。</w:t>
            </w:r>
          </w:p>
        </w:tc>
        <w:tc>
          <w:tcPr>
            <w:tcW w:w="1585" w:type="dxa"/>
          </w:tcPr>
          <w:p>
            <w:pPr>
              <w:spacing w:line="240" w:lineRule="auto"/>
              <w:rPr>
                <w:rFonts w:hint="eastAsia" w:eastAsia="宋体"/>
                <w:sz w:val="21"/>
                <w:szCs w:val="21"/>
                <w:lang w:val="en-US" w:eastAsia="zh-CN"/>
              </w:rPr>
            </w:pPr>
            <w:r>
              <w:rPr>
                <w:rFonts w:hint="eastAsia"/>
                <w:sz w:val="21"/>
                <w:szCs w:val="21"/>
                <w:lang w:val="en-US" w:eastAsia="zh-CN"/>
              </w:rPr>
              <w:t>Y</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ascii="宋体" w:hAnsi="宋体"/>
                <w:lang w:val="en-US" w:eastAsia="zh-CN"/>
              </w:rPr>
            </w:pPr>
            <w:r>
              <w:rPr>
                <w:rFonts w:hint="eastAsia" w:ascii="宋体" w:hAnsi="宋体"/>
                <w:lang w:val="en-US" w:eastAsia="zh-CN"/>
              </w:rPr>
              <w:t>管理评审的策划及实施情况</w:t>
            </w:r>
          </w:p>
        </w:tc>
        <w:tc>
          <w:tcPr>
            <w:tcW w:w="960" w:type="dxa"/>
          </w:tcPr>
          <w:p>
            <w:pPr>
              <w:pStyle w:val="2"/>
              <w:rPr>
                <w:rFonts w:hint="default"/>
                <w:lang w:val="en-US" w:eastAsia="zh-CN"/>
              </w:rPr>
            </w:pPr>
            <w:r>
              <w:rPr>
                <w:rFonts w:hint="eastAsia"/>
                <w:lang w:val="en-US" w:eastAsia="zh-CN"/>
              </w:rPr>
              <w:t>QES9.3</w:t>
            </w:r>
          </w:p>
        </w:tc>
        <w:tc>
          <w:tcPr>
            <w:tcW w:w="10004" w:type="dxa"/>
          </w:tcPr>
          <w:p>
            <w:pPr>
              <w:spacing w:line="240" w:lineRule="auto"/>
              <w:jc w:val="left"/>
              <w:rPr>
                <w:rFonts w:hint="eastAsia"/>
                <w:lang w:val="en-US" w:eastAsia="zh-CN"/>
              </w:rPr>
            </w:pPr>
            <w:r>
              <w:rPr>
                <w:rFonts w:hint="eastAsia"/>
                <w:lang w:val="en-US" w:eastAsia="zh-CN"/>
              </w:rPr>
              <w:t>---查公司策划了：管理评审程序。</w:t>
            </w:r>
          </w:p>
          <w:p>
            <w:pPr>
              <w:spacing w:line="240" w:lineRule="auto"/>
              <w:jc w:val="left"/>
              <w:rPr>
                <w:rFonts w:hint="eastAsia"/>
                <w:lang w:val="en-US" w:eastAsia="zh-CN"/>
              </w:rPr>
            </w:pPr>
            <w:r>
              <w:rPr>
                <w:rFonts w:hint="eastAsia"/>
                <w:lang w:val="en-US" w:eastAsia="zh-CN"/>
              </w:rPr>
              <w:t>---管理评审的实施情况：建立管理体系至今进行管评一次，提供了相应的记录，如下：</w:t>
            </w:r>
          </w:p>
          <w:p>
            <w:pPr>
              <w:spacing w:line="240" w:lineRule="auto"/>
              <w:jc w:val="left"/>
              <w:rPr>
                <w:rFonts w:hint="default" w:ascii="Times New Roman" w:hAnsi="Times New Roman" w:eastAsia="宋体" w:cs="Times New Roman"/>
                <w:sz w:val="21"/>
                <w:szCs w:val="21"/>
                <w:lang w:val="en-US" w:eastAsia="zh-CN"/>
              </w:rPr>
            </w:pPr>
            <w:r>
              <w:rPr>
                <w:rFonts w:hint="default"/>
                <w:lang w:val="en-US" w:eastAsia="zh-CN"/>
              </w:rPr>
              <w:t>公司在</w:t>
            </w:r>
            <w:r>
              <w:rPr>
                <w:rFonts w:hint="eastAsia"/>
                <w:lang w:val="en-US" w:eastAsia="zh-CN"/>
              </w:rPr>
              <w:t>2022.4.9.计划，</w:t>
            </w:r>
            <w:r>
              <w:rPr>
                <w:rFonts w:hint="default"/>
                <w:lang w:val="en-US" w:eastAsia="zh-CN"/>
              </w:rPr>
              <w:t>202</w:t>
            </w:r>
            <w:r>
              <w:rPr>
                <w:rFonts w:hint="eastAsia"/>
                <w:lang w:val="en-US" w:eastAsia="zh-CN"/>
              </w:rPr>
              <w:t>2.4.12.实施</w:t>
            </w:r>
            <w:r>
              <w:rPr>
                <w:rFonts w:hint="default"/>
                <w:lang w:val="en-US" w:eastAsia="zh-CN"/>
              </w:rPr>
              <w:t>了管理评审活动，所有职能部门参与，提供</w:t>
            </w:r>
            <w:r>
              <w:rPr>
                <w:rFonts w:hint="default"/>
                <w:highlight w:val="none"/>
                <w:lang w:val="en-US" w:eastAsia="zh-CN"/>
              </w:rPr>
              <w:t>了手写的签到表；</w:t>
            </w:r>
            <w:r>
              <w:rPr>
                <w:rFonts w:hint="default"/>
                <w:lang w:val="en-US" w:eastAsia="zh-CN"/>
              </w:rPr>
              <w:t>主要的输</w:t>
            </w:r>
            <w:r>
              <w:rPr>
                <w:rFonts w:hint="default" w:ascii="Times New Roman" w:hAnsi="Times New Roman" w:eastAsia="宋体" w:cs="Times New Roman"/>
                <w:sz w:val="21"/>
                <w:szCs w:val="21"/>
                <w:lang w:val="en-US" w:eastAsia="zh-CN"/>
              </w:rPr>
              <w:t>入：</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1、以往管理评审所采取措施的实施情况；（体系运行第一年不涉及）</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2、与质量、环境、安全管理体系相关的内外部因素、问题的变化；</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 顾客满意和有关相关方的反馈，相关方的需求和期望，包括合规义务</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4、其重要环境因素</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5、质量、环境、安全目标的实现程度</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6、过程绩效以及产品和服务的合格情况</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7、不合格及纠正措施</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8、监视和测量结果</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9、其合规义务的履行情况</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10、（内部）审核结果和合规性评价的结果</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11、参与和协商的结果</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12、外部供方的绩效 </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13、资源的充分性</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14、事件调查、纠正措施和预防措施的情况</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15、来自相关方的有关信息交流，包括抱怨、投诉；</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16、应对风险和机遇所采取措施情况及有效性</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17、改进的机会</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18、上次审核改进项的验证</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五、总经理作总结</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经过内审和管理评审的检验证实，我公司现有的管理体系及制定的管理方针、目标是适宜、有效的，管理体系各过程识别充分。</w:t>
            </w:r>
          </w:p>
          <w:p>
            <w:pPr>
              <w:spacing w:line="240" w:lineRule="auto"/>
              <w:jc w:val="left"/>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需要改进的问题</w:t>
            </w:r>
            <w:r>
              <w:rPr>
                <w:rFonts w:hint="eastAsia" w:ascii="Times New Roman" w:hAnsi="Times New Roman" w:eastAsia="宋体" w:cs="Times New Roman"/>
                <w:sz w:val="21"/>
                <w:szCs w:val="21"/>
                <w:lang w:val="en-US" w:eastAsia="zh-CN"/>
              </w:rPr>
              <w:t>：</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进一步加强员工的疫情自我防护意识的培训</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李俊忙</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2022年4月底前</w:t>
            </w:r>
          </w:p>
          <w:p>
            <w:pPr>
              <w:pStyle w:val="2"/>
              <w:rPr>
                <w:rFonts w:hint="default"/>
                <w:lang w:val="en-US" w:eastAsia="zh-CN"/>
              </w:rPr>
            </w:pPr>
            <w:r>
              <w:rPr>
                <w:rFonts w:hint="eastAsia"/>
                <w:lang w:val="en-US" w:eastAsia="zh-CN"/>
              </w:rPr>
              <w:t>——符合要求。</w:t>
            </w:r>
          </w:p>
        </w:tc>
        <w:tc>
          <w:tcPr>
            <w:tcW w:w="1585" w:type="dxa"/>
          </w:tcPr>
          <w:p>
            <w:pPr>
              <w:spacing w:line="24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ascii="宋体" w:hAnsi="宋体"/>
                <w:lang w:val="en-US" w:eastAsia="zh-CN"/>
              </w:rPr>
            </w:pPr>
            <w:r>
              <w:rPr>
                <w:rFonts w:hint="eastAsia"/>
                <w:sz w:val="21"/>
                <w:szCs w:val="21"/>
              </w:rPr>
              <w:t>改进机制的建立</w:t>
            </w:r>
          </w:p>
        </w:tc>
        <w:tc>
          <w:tcPr>
            <w:tcW w:w="960" w:type="dxa"/>
          </w:tcPr>
          <w:p>
            <w:pPr>
              <w:pStyle w:val="2"/>
              <w:rPr>
                <w:rFonts w:hint="default"/>
                <w:lang w:val="en-US" w:eastAsia="zh-CN"/>
              </w:rPr>
            </w:pPr>
            <w:r>
              <w:rPr>
                <w:rFonts w:hint="eastAsia"/>
                <w:lang w:val="en-US" w:eastAsia="zh-CN"/>
              </w:rPr>
              <w:t>QES10.1/10.3</w:t>
            </w:r>
          </w:p>
        </w:tc>
        <w:tc>
          <w:tcPr>
            <w:tcW w:w="10004" w:type="dxa"/>
          </w:tcPr>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---策划了下列成文信息：</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内部审核控制程序</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管理评审控制程序</w:t>
            </w:r>
          </w:p>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不合格输出控制程序</w:t>
            </w:r>
          </w:p>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环境、安全不符合控制程序</w:t>
            </w:r>
          </w:p>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事故（事件）报告/调查和处理控制程序</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合规性评价管理程序</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纠正措施管理程序</w:t>
            </w:r>
          </w:p>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---实施：</w:t>
            </w:r>
          </w:p>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1、在公司及部门层面全面实施目标考核机制，针对周期性目标考核结果进行改进实施。</w:t>
            </w:r>
          </w:p>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2、针对潜在的紧急情况造成的环境和职业健康安全风险，组织制定了有效的应急预案，并适时安排演练验证，以确定其适宜性和有效性，提升全员应急反应能力。</w:t>
            </w:r>
          </w:p>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3、针对年度内审发现的不符合项实施了原因分析制定纠正措施并跟踪整改验证；针对年度管理评审和公司重大会议等活动信息进行综合分析评价，形成必要的改进决策。</w:t>
            </w:r>
          </w:p>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4、在日常业务运行中，组织各部门收集、统计贯标记录及QMS/EMS/OHSMS相关记录信息，运用统计技术进行数据分析，寻找改进机会。</w:t>
            </w:r>
          </w:p>
          <w:p>
            <w:pPr>
              <w:spacing w:line="240" w:lineRule="auto"/>
              <w:jc w:val="left"/>
              <w:rPr>
                <w:rFonts w:hint="default"/>
                <w:lang w:val="en-US" w:eastAsia="zh-CN"/>
              </w:rPr>
            </w:pPr>
            <w:r>
              <w:rPr>
                <w:rFonts w:hint="eastAsia" w:ascii="Times New Roman" w:hAnsi="Times New Roman" w:eastAsia="宋体" w:cs="Times New Roman"/>
                <w:sz w:val="21"/>
                <w:szCs w:val="21"/>
                <w:lang w:val="en-US" w:eastAsia="zh-CN"/>
              </w:rPr>
              <w:t>上述这些均在相应的过程审核中提供有实施证据，证实了该组织改进机制的建设基本有效。</w:t>
            </w:r>
          </w:p>
        </w:tc>
        <w:tc>
          <w:tcPr>
            <w:tcW w:w="1585" w:type="dxa"/>
          </w:tcPr>
          <w:p>
            <w:pPr>
              <w:spacing w:line="24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sz w:val="21"/>
                <w:szCs w:val="21"/>
              </w:rPr>
            </w:pPr>
            <w:r>
              <w:rPr>
                <w:rFonts w:hint="eastAsia" w:ascii="宋体" w:hAnsi="宋体"/>
              </w:rPr>
              <w:t>产品质量状况(包括质量/环境/安全事故、顾客投诉、监督部门抽查/监测等</w:t>
            </w:r>
          </w:p>
        </w:tc>
        <w:tc>
          <w:tcPr>
            <w:tcW w:w="960" w:type="dxa"/>
          </w:tcPr>
          <w:p>
            <w:pPr>
              <w:pStyle w:val="2"/>
              <w:rPr>
                <w:rFonts w:hint="eastAsia"/>
                <w:lang w:val="en-US" w:eastAsia="zh-CN"/>
              </w:rPr>
            </w:pPr>
          </w:p>
        </w:tc>
        <w:tc>
          <w:tcPr>
            <w:tcW w:w="10004" w:type="dxa"/>
          </w:tcPr>
          <w:p>
            <w:pPr>
              <w:pStyle w:val="12"/>
              <w:rPr>
                <w:rFonts w:hint="eastAsia"/>
              </w:rPr>
            </w:pPr>
            <w:r>
              <w:rPr>
                <w:rFonts w:hint="eastAsia"/>
              </w:rPr>
              <w:t>公司领导介绍，公司在年度</w:t>
            </w:r>
            <w:r>
              <w:rPr>
                <w:rFonts w:hint="eastAsia"/>
                <w:lang w:val="en-US" w:eastAsia="zh-CN"/>
              </w:rPr>
              <w:t>顾客</w:t>
            </w:r>
            <w:r>
              <w:rPr>
                <w:rFonts w:hint="eastAsia"/>
              </w:rPr>
              <w:t>满意程度调查中，得分较高。同时，至今无重大投诉、媒体曝光、人员伤亡及重大事故（质量/职业健康安全/环境事故）发生。</w:t>
            </w:r>
          </w:p>
          <w:p>
            <w:pPr>
              <w:pStyle w:val="12"/>
              <w:rPr>
                <w:rFonts w:hint="eastAsia"/>
                <w:lang w:val="en-US" w:eastAsia="zh-CN"/>
              </w:rPr>
            </w:pPr>
            <w:r>
              <w:rPr>
                <w:rFonts w:hint="eastAsia"/>
                <w:lang w:val="en-US" w:eastAsia="zh-CN"/>
              </w:rPr>
              <w:t>通过信用中国、企查查等公开渠道查询，未发现行政处罚及异常经营信息。</w:t>
            </w:r>
          </w:p>
          <w:p>
            <w:pPr>
              <w:pStyle w:val="12"/>
              <w:rPr>
                <w:rFonts w:hint="eastAsia"/>
                <w:lang w:val="en-US" w:eastAsia="zh-CN"/>
              </w:rPr>
            </w:pPr>
            <w:r>
              <w:rPr>
                <w:rFonts w:hint="eastAsia"/>
                <w:lang w:val="en-US" w:eastAsia="zh-CN"/>
              </w:rPr>
              <w:t>复查营业执照范围及期限，完全覆盖本次审核范围。</w:t>
            </w:r>
          </w:p>
          <w:p>
            <w:pPr>
              <w:pStyle w:val="12"/>
              <w:rPr>
                <w:rFonts w:hint="default" w:ascii="Times New Roman" w:hAnsi="Times New Roman" w:eastAsia="宋体" w:cs="Times New Roman"/>
                <w:sz w:val="21"/>
                <w:szCs w:val="21"/>
                <w:lang w:val="en-US" w:eastAsia="zh-CN"/>
              </w:rPr>
            </w:pPr>
            <w:r>
              <w:rPr>
                <w:rFonts w:hint="eastAsia"/>
                <w:lang w:val="en-US" w:eastAsia="zh-CN"/>
              </w:rPr>
              <w:t>经核实，企业无需特定许可经营资质。</w:t>
            </w:r>
          </w:p>
        </w:tc>
        <w:tc>
          <w:tcPr>
            <w:tcW w:w="1585" w:type="dxa"/>
          </w:tcPr>
          <w:p>
            <w:pPr>
              <w:spacing w:line="240" w:lineRule="auto"/>
              <w:rPr>
                <w:sz w:val="21"/>
                <w:szCs w:val="21"/>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0F5419F"/>
    <w:rsid w:val="01ED1741"/>
    <w:rsid w:val="02077690"/>
    <w:rsid w:val="02900C99"/>
    <w:rsid w:val="032F3AE7"/>
    <w:rsid w:val="034C25F7"/>
    <w:rsid w:val="04016F89"/>
    <w:rsid w:val="040556DD"/>
    <w:rsid w:val="04536448"/>
    <w:rsid w:val="04C410F4"/>
    <w:rsid w:val="059A16B8"/>
    <w:rsid w:val="05B60A3D"/>
    <w:rsid w:val="05CC5BE8"/>
    <w:rsid w:val="05ED6429"/>
    <w:rsid w:val="06327FFE"/>
    <w:rsid w:val="066B5CCB"/>
    <w:rsid w:val="069E7B7E"/>
    <w:rsid w:val="06B11959"/>
    <w:rsid w:val="074D3623"/>
    <w:rsid w:val="07EA70C4"/>
    <w:rsid w:val="08122529"/>
    <w:rsid w:val="082A74C0"/>
    <w:rsid w:val="08472D7D"/>
    <w:rsid w:val="0869448C"/>
    <w:rsid w:val="089D7C92"/>
    <w:rsid w:val="08C6368D"/>
    <w:rsid w:val="08F22138"/>
    <w:rsid w:val="0A1270E8"/>
    <w:rsid w:val="0AF50259"/>
    <w:rsid w:val="0B830BCD"/>
    <w:rsid w:val="0D785BAB"/>
    <w:rsid w:val="0DBA3094"/>
    <w:rsid w:val="0E0367E9"/>
    <w:rsid w:val="0E2D6668"/>
    <w:rsid w:val="0EDE1004"/>
    <w:rsid w:val="0FA67D74"/>
    <w:rsid w:val="1041460A"/>
    <w:rsid w:val="105570A4"/>
    <w:rsid w:val="10F42D61"/>
    <w:rsid w:val="11131439"/>
    <w:rsid w:val="12174F59"/>
    <w:rsid w:val="124B69B1"/>
    <w:rsid w:val="1277246F"/>
    <w:rsid w:val="12F7708F"/>
    <w:rsid w:val="1331592B"/>
    <w:rsid w:val="13741F37"/>
    <w:rsid w:val="13E7095B"/>
    <w:rsid w:val="144D78EE"/>
    <w:rsid w:val="148937C0"/>
    <w:rsid w:val="148D738F"/>
    <w:rsid w:val="14C36CD2"/>
    <w:rsid w:val="14E07884"/>
    <w:rsid w:val="159642B6"/>
    <w:rsid w:val="15BB209F"/>
    <w:rsid w:val="15E433A4"/>
    <w:rsid w:val="17847AE0"/>
    <w:rsid w:val="17AD77C6"/>
    <w:rsid w:val="18381785"/>
    <w:rsid w:val="187560DC"/>
    <w:rsid w:val="18DF7E53"/>
    <w:rsid w:val="1A951111"/>
    <w:rsid w:val="1AA55A1B"/>
    <w:rsid w:val="1B1B605E"/>
    <w:rsid w:val="1B697EA8"/>
    <w:rsid w:val="1BFB1448"/>
    <w:rsid w:val="1DCA10D2"/>
    <w:rsid w:val="1E122A78"/>
    <w:rsid w:val="1E71779F"/>
    <w:rsid w:val="1E8079E2"/>
    <w:rsid w:val="1F7312F5"/>
    <w:rsid w:val="208512E0"/>
    <w:rsid w:val="21050673"/>
    <w:rsid w:val="21CB4D60"/>
    <w:rsid w:val="22553EBC"/>
    <w:rsid w:val="22643B2A"/>
    <w:rsid w:val="226513C9"/>
    <w:rsid w:val="226E2973"/>
    <w:rsid w:val="23144B9D"/>
    <w:rsid w:val="234A457B"/>
    <w:rsid w:val="248F4E23"/>
    <w:rsid w:val="24BB6498"/>
    <w:rsid w:val="24CC572F"/>
    <w:rsid w:val="24ED38F7"/>
    <w:rsid w:val="250C6474"/>
    <w:rsid w:val="253D03DB"/>
    <w:rsid w:val="25B61C8E"/>
    <w:rsid w:val="25DC5E46"/>
    <w:rsid w:val="26211AAB"/>
    <w:rsid w:val="26C4084A"/>
    <w:rsid w:val="27371985"/>
    <w:rsid w:val="276E0D20"/>
    <w:rsid w:val="27B32BD6"/>
    <w:rsid w:val="282F658A"/>
    <w:rsid w:val="28533282"/>
    <w:rsid w:val="28616AD6"/>
    <w:rsid w:val="2878582E"/>
    <w:rsid w:val="28D14A37"/>
    <w:rsid w:val="291E0523"/>
    <w:rsid w:val="296231E7"/>
    <w:rsid w:val="29F050B2"/>
    <w:rsid w:val="2A3C12B0"/>
    <w:rsid w:val="2B3D7387"/>
    <w:rsid w:val="2B65068C"/>
    <w:rsid w:val="2B79356C"/>
    <w:rsid w:val="2BE13FF6"/>
    <w:rsid w:val="2C22657D"/>
    <w:rsid w:val="2CBE44F7"/>
    <w:rsid w:val="2D12737A"/>
    <w:rsid w:val="2D4F096A"/>
    <w:rsid w:val="2DA44706"/>
    <w:rsid w:val="2DF950BB"/>
    <w:rsid w:val="2E0232D9"/>
    <w:rsid w:val="2E0C3040"/>
    <w:rsid w:val="2E2B6BDF"/>
    <w:rsid w:val="3104008F"/>
    <w:rsid w:val="32146851"/>
    <w:rsid w:val="32672F3B"/>
    <w:rsid w:val="3291620A"/>
    <w:rsid w:val="329C4EBE"/>
    <w:rsid w:val="33246807"/>
    <w:rsid w:val="347100A1"/>
    <w:rsid w:val="34BE29F7"/>
    <w:rsid w:val="35A467DB"/>
    <w:rsid w:val="36054F45"/>
    <w:rsid w:val="360C5562"/>
    <w:rsid w:val="365E4655"/>
    <w:rsid w:val="36662444"/>
    <w:rsid w:val="36F36BE9"/>
    <w:rsid w:val="377759CE"/>
    <w:rsid w:val="37B81B43"/>
    <w:rsid w:val="37C329C2"/>
    <w:rsid w:val="382B3AE2"/>
    <w:rsid w:val="387533AE"/>
    <w:rsid w:val="38765C86"/>
    <w:rsid w:val="38E70932"/>
    <w:rsid w:val="3948754F"/>
    <w:rsid w:val="39504729"/>
    <w:rsid w:val="39C9197D"/>
    <w:rsid w:val="3A0E0140"/>
    <w:rsid w:val="3A563FC1"/>
    <w:rsid w:val="3A9C574C"/>
    <w:rsid w:val="3AF17846"/>
    <w:rsid w:val="3BC42AE2"/>
    <w:rsid w:val="3BC46D08"/>
    <w:rsid w:val="3C7A1ABD"/>
    <w:rsid w:val="3C7C75E3"/>
    <w:rsid w:val="3CBE5E4E"/>
    <w:rsid w:val="3CD92CCA"/>
    <w:rsid w:val="3D3D4FC4"/>
    <w:rsid w:val="3D4C3459"/>
    <w:rsid w:val="3E7569E0"/>
    <w:rsid w:val="3E9A6446"/>
    <w:rsid w:val="3EED47C8"/>
    <w:rsid w:val="3F67457A"/>
    <w:rsid w:val="406820F1"/>
    <w:rsid w:val="40DF5DB7"/>
    <w:rsid w:val="41F024B8"/>
    <w:rsid w:val="426A2DA8"/>
    <w:rsid w:val="429F5DD9"/>
    <w:rsid w:val="43992A22"/>
    <w:rsid w:val="43A6091F"/>
    <w:rsid w:val="43F87E97"/>
    <w:rsid w:val="44340499"/>
    <w:rsid w:val="44C10289"/>
    <w:rsid w:val="44EA7563"/>
    <w:rsid w:val="454113CA"/>
    <w:rsid w:val="459040FF"/>
    <w:rsid w:val="45D8368A"/>
    <w:rsid w:val="461A0A10"/>
    <w:rsid w:val="467D4684"/>
    <w:rsid w:val="46A95479"/>
    <w:rsid w:val="473867FC"/>
    <w:rsid w:val="478C7E28"/>
    <w:rsid w:val="47CD5197"/>
    <w:rsid w:val="483E7E42"/>
    <w:rsid w:val="4899663B"/>
    <w:rsid w:val="489D4F7E"/>
    <w:rsid w:val="49044BE8"/>
    <w:rsid w:val="497D45AA"/>
    <w:rsid w:val="49852EB9"/>
    <w:rsid w:val="49EF5898"/>
    <w:rsid w:val="4B091BB2"/>
    <w:rsid w:val="4B705F0C"/>
    <w:rsid w:val="4C926DBD"/>
    <w:rsid w:val="4C990E81"/>
    <w:rsid w:val="4DF8180F"/>
    <w:rsid w:val="4F2515BC"/>
    <w:rsid w:val="4F477F24"/>
    <w:rsid w:val="4F611C71"/>
    <w:rsid w:val="4FBE5302"/>
    <w:rsid w:val="50E84DEF"/>
    <w:rsid w:val="52477EC2"/>
    <w:rsid w:val="529A65BD"/>
    <w:rsid w:val="531A3FF9"/>
    <w:rsid w:val="5486329D"/>
    <w:rsid w:val="54BE47E5"/>
    <w:rsid w:val="5523289A"/>
    <w:rsid w:val="554271C4"/>
    <w:rsid w:val="555571D9"/>
    <w:rsid w:val="55676C2B"/>
    <w:rsid w:val="55BE0DAF"/>
    <w:rsid w:val="56570A4D"/>
    <w:rsid w:val="57407733"/>
    <w:rsid w:val="582013EA"/>
    <w:rsid w:val="58A66F66"/>
    <w:rsid w:val="58F06F37"/>
    <w:rsid w:val="591B4FEE"/>
    <w:rsid w:val="591D217A"/>
    <w:rsid w:val="59CA3C2C"/>
    <w:rsid w:val="5B874450"/>
    <w:rsid w:val="5BFA1F91"/>
    <w:rsid w:val="5C565095"/>
    <w:rsid w:val="5CC11316"/>
    <w:rsid w:val="5E9D190F"/>
    <w:rsid w:val="5EF80F8C"/>
    <w:rsid w:val="5F2D3ECA"/>
    <w:rsid w:val="5F3C4E62"/>
    <w:rsid w:val="5F7E529D"/>
    <w:rsid w:val="5FA64AA5"/>
    <w:rsid w:val="5FB24F46"/>
    <w:rsid w:val="606A75CF"/>
    <w:rsid w:val="606E6AFA"/>
    <w:rsid w:val="61B152D3"/>
    <w:rsid w:val="61C86CA3"/>
    <w:rsid w:val="61F40580"/>
    <w:rsid w:val="62C236F2"/>
    <w:rsid w:val="63E137D0"/>
    <w:rsid w:val="642D2E61"/>
    <w:rsid w:val="64B1537D"/>
    <w:rsid w:val="64C07187"/>
    <w:rsid w:val="64CC2606"/>
    <w:rsid w:val="653603C7"/>
    <w:rsid w:val="65B62F8A"/>
    <w:rsid w:val="66263F98"/>
    <w:rsid w:val="668A7C1B"/>
    <w:rsid w:val="669917C8"/>
    <w:rsid w:val="66B27F22"/>
    <w:rsid w:val="675B5EC3"/>
    <w:rsid w:val="67950876"/>
    <w:rsid w:val="67C1666E"/>
    <w:rsid w:val="68241BEB"/>
    <w:rsid w:val="68C06342"/>
    <w:rsid w:val="68DF0823"/>
    <w:rsid w:val="693624AE"/>
    <w:rsid w:val="69584DB0"/>
    <w:rsid w:val="69870D18"/>
    <w:rsid w:val="6A3C276C"/>
    <w:rsid w:val="6AA945AE"/>
    <w:rsid w:val="6AB558AA"/>
    <w:rsid w:val="6AEF52A0"/>
    <w:rsid w:val="6BB06807"/>
    <w:rsid w:val="6BE6773F"/>
    <w:rsid w:val="6CEE720C"/>
    <w:rsid w:val="6D1E00BF"/>
    <w:rsid w:val="6D527D69"/>
    <w:rsid w:val="6E251F04"/>
    <w:rsid w:val="6E6C09B6"/>
    <w:rsid w:val="6E7C34DD"/>
    <w:rsid w:val="6E934195"/>
    <w:rsid w:val="6F2B0871"/>
    <w:rsid w:val="708741CD"/>
    <w:rsid w:val="70C4586E"/>
    <w:rsid w:val="713C4FB8"/>
    <w:rsid w:val="71526589"/>
    <w:rsid w:val="72747C9E"/>
    <w:rsid w:val="72814EB3"/>
    <w:rsid w:val="72936E59"/>
    <w:rsid w:val="737427E7"/>
    <w:rsid w:val="73D17C39"/>
    <w:rsid w:val="751D6EAE"/>
    <w:rsid w:val="756158FE"/>
    <w:rsid w:val="75995495"/>
    <w:rsid w:val="75A26907"/>
    <w:rsid w:val="75EF43A6"/>
    <w:rsid w:val="76444CE8"/>
    <w:rsid w:val="77724EA0"/>
    <w:rsid w:val="7782124A"/>
    <w:rsid w:val="77E74B9F"/>
    <w:rsid w:val="783153FA"/>
    <w:rsid w:val="783F46D9"/>
    <w:rsid w:val="784D1858"/>
    <w:rsid w:val="78872FBC"/>
    <w:rsid w:val="78AA2E96"/>
    <w:rsid w:val="78C040E6"/>
    <w:rsid w:val="78E41F07"/>
    <w:rsid w:val="79226841"/>
    <w:rsid w:val="792D4DB3"/>
    <w:rsid w:val="794A1D15"/>
    <w:rsid w:val="79B853F7"/>
    <w:rsid w:val="7A7B08FF"/>
    <w:rsid w:val="7AA8694D"/>
    <w:rsid w:val="7B292109"/>
    <w:rsid w:val="7BEE3352"/>
    <w:rsid w:val="7C7575D0"/>
    <w:rsid w:val="7D423956"/>
    <w:rsid w:val="7D981287"/>
    <w:rsid w:val="7E173EA2"/>
    <w:rsid w:val="7EA2525B"/>
    <w:rsid w:val="7EA30424"/>
    <w:rsid w:val="7EC108AA"/>
    <w:rsid w:val="7F0641FA"/>
    <w:rsid w:val="7F3116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next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15</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2022-05-08T09:52:58Z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