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1"/>
                <w:szCs w:val="21"/>
              </w:rPr>
            </w:pPr>
            <w:r>
              <w:rPr>
                <w:rFonts w:hint="eastAsia"/>
                <w:sz w:val="21"/>
                <w:szCs w:val="21"/>
              </w:rPr>
              <w:t>过程与活动、</w:t>
            </w:r>
          </w:p>
          <w:p>
            <w:pPr>
              <w:spacing w:line="240" w:lineRule="auto"/>
              <w:jc w:val="center"/>
              <w:rPr>
                <w:sz w:val="21"/>
                <w:szCs w:val="21"/>
              </w:rPr>
            </w:pPr>
            <w:r>
              <w:rPr>
                <w:rFonts w:hint="eastAsia"/>
                <w:sz w:val="21"/>
                <w:szCs w:val="21"/>
              </w:rPr>
              <w:t>抽样计划</w:t>
            </w:r>
          </w:p>
        </w:tc>
        <w:tc>
          <w:tcPr>
            <w:tcW w:w="960" w:type="dxa"/>
            <w:vMerge w:val="restart"/>
            <w:vAlign w:val="center"/>
          </w:tcPr>
          <w:p>
            <w:pPr>
              <w:spacing w:line="240" w:lineRule="auto"/>
              <w:rPr>
                <w:sz w:val="21"/>
                <w:szCs w:val="21"/>
              </w:rPr>
            </w:pPr>
            <w:r>
              <w:rPr>
                <w:rFonts w:hint="eastAsia"/>
                <w:sz w:val="21"/>
                <w:szCs w:val="21"/>
              </w:rPr>
              <w:t>涉及</w:t>
            </w:r>
          </w:p>
          <w:p>
            <w:pPr>
              <w:spacing w:line="240" w:lineRule="auto"/>
              <w:rPr>
                <w:sz w:val="21"/>
                <w:szCs w:val="21"/>
              </w:rPr>
            </w:pPr>
            <w:r>
              <w:rPr>
                <w:rFonts w:hint="eastAsia"/>
                <w:sz w:val="21"/>
                <w:szCs w:val="21"/>
              </w:rPr>
              <w:t>条款</w:t>
            </w:r>
          </w:p>
        </w:tc>
        <w:tc>
          <w:tcPr>
            <w:tcW w:w="10004" w:type="dxa"/>
            <w:vAlign w:val="center"/>
          </w:tcPr>
          <w:p>
            <w:pPr>
              <w:spacing w:line="240" w:lineRule="auto"/>
              <w:rPr>
                <w:sz w:val="21"/>
                <w:szCs w:val="21"/>
              </w:rPr>
            </w:pPr>
            <w:r>
              <w:rPr>
                <w:rFonts w:hint="eastAsia"/>
                <w:sz w:val="21"/>
                <w:szCs w:val="21"/>
              </w:rPr>
              <w:t>受审核部门：</w:t>
            </w:r>
            <w:r>
              <w:rPr>
                <w:rFonts w:hint="eastAsia" w:asciiTheme="minorEastAsia" w:hAnsiTheme="minorEastAsia" w:eastAsiaTheme="minorEastAsia"/>
                <w:sz w:val="21"/>
                <w:szCs w:val="21"/>
                <w:lang w:val="en-US" w:eastAsia="zh-CN"/>
              </w:rPr>
              <w:t>办公室</w:t>
            </w:r>
            <w:r>
              <w:rPr>
                <w:rFonts w:hint="eastAsia" w:asciiTheme="minorEastAsia" w:hAnsiTheme="minorEastAsia" w:eastAsiaTheme="minorEastAsia"/>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w:t>
            </w:r>
            <w:r>
              <w:rPr>
                <w:rFonts w:hint="eastAsia"/>
                <w:sz w:val="21"/>
                <w:szCs w:val="21"/>
              </w:rPr>
              <w:t>陪同人员：</w:t>
            </w:r>
            <w:r>
              <w:rPr>
                <w:rFonts w:hint="eastAsia"/>
                <w:sz w:val="21"/>
                <w:szCs w:val="21"/>
                <w:lang w:val="en-US" w:eastAsia="zh-CN"/>
              </w:rPr>
              <w:t>晓骨</w:t>
            </w:r>
            <w:r>
              <w:rPr>
                <w:rFonts w:hint="eastAsia" w:asciiTheme="minorEastAsia" w:hAnsiTheme="minorEastAsia" w:eastAsiaTheme="minorEastAsia"/>
                <w:sz w:val="21"/>
                <w:szCs w:val="21"/>
                <w:lang w:val="en-US" w:eastAsia="zh-CN"/>
              </w:rPr>
              <w:t xml:space="preserve"> </w:t>
            </w:r>
          </w:p>
        </w:tc>
        <w:tc>
          <w:tcPr>
            <w:tcW w:w="1585" w:type="dxa"/>
            <w:vMerge w:val="restart"/>
            <w:vAlign w:val="center"/>
          </w:tcPr>
          <w:p>
            <w:pPr>
              <w:spacing w:line="24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rPr>
                <w:sz w:val="21"/>
                <w:szCs w:val="21"/>
              </w:rPr>
            </w:pPr>
          </w:p>
        </w:tc>
        <w:tc>
          <w:tcPr>
            <w:tcW w:w="960" w:type="dxa"/>
            <w:vMerge w:val="continue"/>
            <w:vAlign w:val="center"/>
          </w:tcPr>
          <w:p>
            <w:pPr>
              <w:spacing w:line="240" w:lineRule="auto"/>
              <w:rPr>
                <w:sz w:val="21"/>
                <w:szCs w:val="21"/>
              </w:rPr>
            </w:pPr>
          </w:p>
        </w:tc>
        <w:tc>
          <w:tcPr>
            <w:tcW w:w="10004" w:type="dxa"/>
            <w:vAlign w:val="center"/>
          </w:tcPr>
          <w:p>
            <w:pPr>
              <w:spacing w:before="120" w:line="240" w:lineRule="auto"/>
              <w:rPr>
                <w:rFonts w:hint="default" w:eastAsia="宋体"/>
                <w:sz w:val="21"/>
                <w:szCs w:val="21"/>
                <w:lang w:val="en-US" w:eastAsia="zh-CN"/>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lang w:val="en-US" w:eastAsia="zh-CN"/>
              </w:rPr>
              <w:t xml:space="preserve"> /远程     </w:t>
            </w:r>
            <w:r>
              <w:rPr>
                <w:rFonts w:hint="eastAsia"/>
                <w:sz w:val="21"/>
                <w:szCs w:val="21"/>
              </w:rPr>
              <w:t>审核时间：</w:t>
            </w:r>
            <w:bookmarkStart w:id="1" w:name="审核日期"/>
            <w:r>
              <w:rPr>
                <w:sz w:val="21"/>
                <w:szCs w:val="21"/>
              </w:rPr>
              <w:t>2022年</w:t>
            </w:r>
            <w:r>
              <w:rPr>
                <w:rFonts w:hint="eastAsia"/>
                <w:sz w:val="21"/>
                <w:szCs w:val="21"/>
                <w:lang w:val="en-US" w:eastAsia="zh-CN"/>
              </w:rPr>
              <w:t xml:space="preserve"> 4  </w:t>
            </w:r>
            <w:r>
              <w:rPr>
                <w:sz w:val="21"/>
                <w:szCs w:val="21"/>
              </w:rPr>
              <w:t>月</w:t>
            </w:r>
            <w:r>
              <w:rPr>
                <w:rFonts w:hint="eastAsia"/>
                <w:sz w:val="21"/>
                <w:szCs w:val="21"/>
                <w:lang w:val="en-US" w:eastAsia="zh-CN"/>
              </w:rPr>
              <w:t xml:space="preserve">  29  </w:t>
            </w:r>
            <w:r>
              <w:rPr>
                <w:sz w:val="21"/>
                <w:szCs w:val="21"/>
              </w:rPr>
              <w:t xml:space="preserve">日 </w:t>
            </w:r>
            <w:bookmarkEnd w:id="1"/>
            <w:r>
              <w:rPr>
                <w:rFonts w:hint="eastAsia"/>
                <w:sz w:val="21"/>
                <w:szCs w:val="21"/>
                <w:lang w:val="en-US" w:eastAsia="zh-CN"/>
              </w:rPr>
              <w:t xml:space="preserve">   </w:t>
            </w:r>
          </w:p>
        </w:tc>
        <w:tc>
          <w:tcPr>
            <w:tcW w:w="1585" w:type="dxa"/>
            <w:vMerge w:val="continue"/>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rPr>
                <w:sz w:val="21"/>
                <w:szCs w:val="21"/>
              </w:rPr>
            </w:pPr>
          </w:p>
        </w:tc>
        <w:tc>
          <w:tcPr>
            <w:tcW w:w="960" w:type="dxa"/>
            <w:vMerge w:val="continue"/>
            <w:vAlign w:val="center"/>
          </w:tcPr>
          <w:p>
            <w:pPr>
              <w:spacing w:line="240" w:lineRule="auto"/>
              <w:rPr>
                <w:sz w:val="21"/>
                <w:szCs w:val="21"/>
              </w:rPr>
            </w:pPr>
          </w:p>
        </w:tc>
        <w:tc>
          <w:tcPr>
            <w:tcW w:w="10004" w:type="dxa"/>
            <w:vAlign w:val="center"/>
          </w:tcPr>
          <w:p>
            <w:pPr>
              <w:spacing w:line="240" w:lineRule="auto"/>
              <w:rPr>
                <w:rFonts w:hint="eastAsia" w:ascii="宋体" w:hAnsi="宋体"/>
                <w:b/>
                <w:bCs/>
                <w:sz w:val="21"/>
                <w:szCs w:val="21"/>
                <w:lang w:val="en-US" w:eastAsia="zh-CN"/>
              </w:rPr>
            </w:pPr>
            <w:r>
              <w:rPr>
                <w:rFonts w:hint="eastAsia"/>
                <w:sz w:val="21"/>
                <w:szCs w:val="21"/>
              </w:rPr>
              <w:t>审核条款：</w:t>
            </w:r>
          </w:p>
          <w:p>
            <w:pPr>
              <w:spacing w:line="240" w:lineRule="auto"/>
              <w:jc w:val="left"/>
              <w:rPr>
                <w:rFonts w:cs="Arial"/>
                <w:sz w:val="21"/>
                <w:szCs w:val="21"/>
              </w:rPr>
            </w:pPr>
            <w:r>
              <w:rPr>
                <w:rFonts w:hint="eastAsia" w:cs="Arial"/>
                <w:sz w:val="21"/>
                <w:szCs w:val="21"/>
                <w:lang w:val="en-US" w:eastAsia="zh-CN"/>
              </w:rPr>
              <w:t>S：</w:t>
            </w:r>
            <w:r>
              <w:rPr>
                <w:rFonts w:cs="Arial"/>
                <w:sz w:val="21"/>
                <w:szCs w:val="21"/>
              </w:rPr>
              <w:t>5.3/6.1.2/6.1.3/6.1.4/6.2/7.2/7.3</w:t>
            </w:r>
            <w:r>
              <w:rPr>
                <w:rFonts w:hint="eastAsia" w:cs="Arial"/>
                <w:sz w:val="21"/>
                <w:szCs w:val="21"/>
                <w:lang w:val="en-US" w:eastAsia="zh-CN"/>
              </w:rPr>
              <w:t>/7.4/7.5</w:t>
            </w:r>
            <w:r>
              <w:rPr>
                <w:rFonts w:cs="Arial"/>
                <w:sz w:val="21"/>
                <w:szCs w:val="21"/>
              </w:rPr>
              <w:t>/8.1/8.2/9.1.1/9.1.2/</w:t>
            </w:r>
            <w:r>
              <w:rPr>
                <w:rFonts w:hint="eastAsia" w:cs="Arial"/>
                <w:sz w:val="21"/>
                <w:szCs w:val="21"/>
                <w:lang w:val="en-US" w:eastAsia="zh-CN"/>
              </w:rPr>
              <w:t>9.2/</w:t>
            </w:r>
            <w:r>
              <w:rPr>
                <w:rFonts w:cs="Arial"/>
                <w:sz w:val="21"/>
                <w:szCs w:val="21"/>
              </w:rPr>
              <w:t>10.2</w:t>
            </w:r>
          </w:p>
          <w:p>
            <w:pPr>
              <w:spacing w:line="240" w:lineRule="auto"/>
              <w:rPr>
                <w:sz w:val="21"/>
                <w:szCs w:val="21"/>
              </w:rPr>
            </w:pPr>
          </w:p>
        </w:tc>
        <w:tc>
          <w:tcPr>
            <w:tcW w:w="1585" w:type="dxa"/>
            <w:vMerge w:val="continue"/>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hint="default" w:eastAsia="宋体"/>
                <w:sz w:val="21"/>
                <w:szCs w:val="21"/>
                <w:lang w:val="en-US" w:eastAsia="zh-CN"/>
              </w:rPr>
            </w:pPr>
            <w:r>
              <w:rPr>
                <w:rFonts w:hint="eastAsia"/>
                <w:sz w:val="21"/>
                <w:szCs w:val="21"/>
                <w:lang w:val="en-US" w:eastAsia="zh-CN"/>
              </w:rPr>
              <w:t>权责分配及目标管理</w:t>
            </w:r>
          </w:p>
        </w:tc>
        <w:tc>
          <w:tcPr>
            <w:tcW w:w="960" w:type="dxa"/>
          </w:tcPr>
          <w:p>
            <w:pPr>
              <w:spacing w:line="240" w:lineRule="auto"/>
              <w:rPr>
                <w:rFonts w:hint="default" w:eastAsia="宋体"/>
                <w:sz w:val="21"/>
                <w:szCs w:val="21"/>
                <w:lang w:val="en-US" w:eastAsia="zh-CN"/>
              </w:rPr>
            </w:pPr>
            <w:r>
              <w:rPr>
                <w:rFonts w:hint="eastAsia"/>
                <w:sz w:val="21"/>
                <w:szCs w:val="21"/>
                <w:lang w:val="en-US" w:eastAsia="zh-CN"/>
              </w:rPr>
              <w:t>S5.3、6.2</w:t>
            </w:r>
          </w:p>
        </w:tc>
        <w:tc>
          <w:tcPr>
            <w:tcW w:w="10004" w:type="dxa"/>
          </w:tcPr>
          <w:p>
            <w:pPr>
              <w:spacing w:line="240" w:lineRule="auto"/>
              <w:jc w:val="left"/>
              <w:rPr>
                <w:rFonts w:hint="eastAsia"/>
                <w:sz w:val="21"/>
                <w:szCs w:val="21"/>
              </w:rPr>
            </w:pPr>
            <w:r>
              <w:rPr>
                <w:rFonts w:hint="eastAsia"/>
                <w:sz w:val="21"/>
                <w:szCs w:val="21"/>
                <w:lang w:val="en-US" w:eastAsia="zh-CN"/>
              </w:rPr>
              <w:t>---</w:t>
            </w:r>
            <w:r>
              <w:rPr>
                <w:rFonts w:hint="eastAsia"/>
                <w:sz w:val="21"/>
                <w:szCs w:val="21"/>
              </w:rPr>
              <w:t>部门负责</w:t>
            </w:r>
            <w:r>
              <w:rPr>
                <w:rFonts w:hint="eastAsia"/>
                <w:sz w:val="21"/>
                <w:szCs w:val="21"/>
                <w:lang w:val="en-US" w:eastAsia="zh-CN"/>
              </w:rPr>
              <w:t>人晓骨介</w:t>
            </w:r>
            <w:r>
              <w:rPr>
                <w:rFonts w:hint="eastAsia"/>
                <w:sz w:val="21"/>
                <w:szCs w:val="21"/>
              </w:rPr>
              <w:t>绍,本部门主要负责以下工作内容：</w:t>
            </w:r>
          </w:p>
          <w:p>
            <w:pPr>
              <w:spacing w:line="240" w:lineRule="auto"/>
              <w:jc w:val="left"/>
              <w:rPr>
                <w:rFonts w:hint="eastAsia"/>
                <w:sz w:val="21"/>
                <w:szCs w:val="21"/>
                <w:lang w:val="en-US" w:eastAsia="zh-CN"/>
              </w:rPr>
            </w:pPr>
            <w:r>
              <w:rPr>
                <w:rFonts w:hint="eastAsia"/>
                <w:sz w:val="21"/>
                <w:szCs w:val="21"/>
                <w:lang w:val="en-US" w:eastAsia="zh-CN"/>
              </w:rPr>
              <w:t>3.5办公室：</w:t>
            </w:r>
          </w:p>
          <w:p>
            <w:pPr>
              <w:spacing w:line="240" w:lineRule="auto"/>
              <w:jc w:val="left"/>
              <w:rPr>
                <w:rFonts w:hint="eastAsia"/>
                <w:sz w:val="21"/>
                <w:szCs w:val="21"/>
                <w:lang w:val="en-US" w:eastAsia="zh-CN"/>
              </w:rPr>
            </w:pPr>
            <w:r>
              <w:rPr>
                <w:rFonts w:hint="eastAsia"/>
                <w:sz w:val="21"/>
                <w:szCs w:val="21"/>
                <w:lang w:val="en-US" w:eastAsia="zh-CN"/>
              </w:rPr>
              <w:t>3.5.1具备高中或同等以上文化程度，有一年以上相关工作经验；</w:t>
            </w:r>
          </w:p>
          <w:p>
            <w:pPr>
              <w:spacing w:line="240" w:lineRule="auto"/>
              <w:jc w:val="left"/>
              <w:rPr>
                <w:rFonts w:hint="eastAsia"/>
                <w:sz w:val="21"/>
                <w:szCs w:val="21"/>
                <w:lang w:val="en-US" w:eastAsia="zh-CN"/>
              </w:rPr>
            </w:pPr>
            <w:r>
              <w:rPr>
                <w:rFonts w:hint="eastAsia"/>
                <w:sz w:val="21"/>
                <w:szCs w:val="21"/>
                <w:lang w:val="en-US" w:eastAsia="zh-CN"/>
              </w:rPr>
              <w:t>3.5.2会操作计算机，能熟练运用办公软件；</w:t>
            </w:r>
          </w:p>
          <w:p>
            <w:pPr>
              <w:spacing w:line="240" w:lineRule="auto"/>
              <w:jc w:val="left"/>
              <w:rPr>
                <w:rFonts w:hint="eastAsia"/>
                <w:sz w:val="21"/>
                <w:szCs w:val="21"/>
                <w:lang w:val="en-US" w:eastAsia="zh-CN"/>
              </w:rPr>
            </w:pPr>
            <w:r>
              <w:rPr>
                <w:rFonts w:hint="eastAsia"/>
                <w:sz w:val="21"/>
                <w:szCs w:val="21"/>
                <w:lang w:val="en-US" w:eastAsia="zh-CN"/>
              </w:rPr>
              <w:t>3.5.3能够正确领会上级领导的精神，保质保量完成上级交给的各项工作。</w:t>
            </w:r>
          </w:p>
          <w:p>
            <w:pPr>
              <w:spacing w:line="240" w:lineRule="auto"/>
              <w:jc w:val="left"/>
              <w:rPr>
                <w:rFonts w:hint="eastAsia" w:ascii="Times New Roman" w:hAnsi="Times New Roman" w:eastAsia="宋体" w:cs="Times New Roman"/>
                <w:sz w:val="21"/>
                <w:szCs w:val="21"/>
                <w:lang w:val="en-US" w:eastAsia="zh-CN"/>
              </w:rPr>
            </w:pPr>
            <w:r>
              <w:rPr>
                <w:rFonts w:hint="eastAsia"/>
                <w:sz w:val="21"/>
                <w:szCs w:val="21"/>
                <w:lang w:eastAsia="zh-CN"/>
              </w:rPr>
              <w:t>——</w:t>
            </w:r>
            <w:r>
              <w:rPr>
                <w:rFonts w:hint="eastAsia"/>
                <w:sz w:val="21"/>
                <w:szCs w:val="21"/>
              </w:rPr>
              <w:t>跟踪核查其</w:t>
            </w:r>
            <w:r>
              <w:rPr>
                <w:rFonts w:hint="eastAsia"/>
                <w:sz w:val="21"/>
                <w:szCs w:val="21"/>
                <w:lang w:eastAsia="zh-CN"/>
              </w:rPr>
              <w:t>“</w:t>
            </w:r>
            <w:r>
              <w:rPr>
                <w:rFonts w:hint="eastAsia"/>
                <w:sz w:val="21"/>
                <w:szCs w:val="21"/>
                <w:lang w:val="en-US" w:eastAsia="zh-CN"/>
              </w:rPr>
              <w:t>岗位人员任职要求”3.5办公室的</w:t>
            </w:r>
            <w:r>
              <w:rPr>
                <w:rFonts w:hint="eastAsia"/>
                <w:sz w:val="21"/>
                <w:szCs w:val="21"/>
              </w:rPr>
              <w:t>内容，其部门负责人表述与文件规</w:t>
            </w:r>
            <w:r>
              <w:rPr>
                <w:rFonts w:hint="eastAsia" w:ascii="Times New Roman" w:hAnsi="Times New Roman" w:eastAsia="宋体" w:cs="Times New Roman"/>
                <w:sz w:val="21"/>
                <w:szCs w:val="21"/>
                <w:lang w:val="en-US" w:eastAsia="zh-CN"/>
              </w:rPr>
              <w:t>定基本一致。</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——岗位、职责和权限明确。</w:t>
            </w:r>
          </w:p>
          <w:p>
            <w:pPr>
              <w:spacing w:line="240" w:lineRule="auto"/>
              <w:jc w:val="left"/>
              <w:rPr>
                <w:rFonts w:hint="eastAsia" w:ascii="Times New Roman" w:hAnsi="Times New Roman" w:eastAsia="宋体" w:cs="Times New Roman"/>
                <w:sz w:val="21"/>
                <w:szCs w:val="21"/>
                <w:lang w:val="en-US" w:eastAsia="zh-CN"/>
              </w:rPr>
            </w:pP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---本部门策划的“环境</w:t>
            </w:r>
            <w:r>
              <w:rPr>
                <w:rFonts w:hint="eastAsia" w:eastAsia="宋体" w:cs="Times New Roman"/>
                <w:sz w:val="21"/>
                <w:szCs w:val="21"/>
                <w:lang w:val="en-US" w:eastAsia="zh-CN"/>
              </w:rPr>
              <w:t>、安全</w:t>
            </w:r>
            <w:r>
              <w:rPr>
                <w:rFonts w:hint="eastAsia" w:ascii="Times New Roman" w:hAnsi="Times New Roman" w:eastAsia="宋体" w:cs="Times New Roman"/>
                <w:sz w:val="21"/>
                <w:szCs w:val="21"/>
                <w:lang w:val="en-US" w:eastAsia="zh-CN"/>
              </w:rPr>
              <w:t>管理方案”；对目标的制订准则，考核方法、频率、责任部门等做出了规定；编审批日期齐全。</w:t>
            </w:r>
            <w:r>
              <w:rPr>
                <w:rFonts w:hint="eastAsia" w:eastAsia="宋体" w:cs="Times New Roman"/>
                <w:sz w:val="21"/>
                <w:szCs w:val="21"/>
                <w:lang w:val="en-US" w:eastAsia="zh-CN"/>
              </w:rPr>
              <w:t>——本部门主控。</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---查“目标达成统计表”最</w:t>
            </w:r>
            <w:bookmarkStart w:id="2" w:name="OLE_LINK2"/>
            <w:r>
              <w:rPr>
                <w:rFonts w:hint="eastAsia" w:ascii="Times New Roman" w:hAnsi="Times New Roman" w:eastAsia="宋体" w:cs="Times New Roman"/>
                <w:sz w:val="21"/>
                <w:szCs w:val="21"/>
                <w:lang w:val="en-US" w:eastAsia="zh-CN"/>
              </w:rPr>
              <w:t>后统计日期：2022.</w:t>
            </w:r>
            <w:r>
              <w:rPr>
                <w:rFonts w:hint="eastAsia" w:eastAsia="宋体" w:cs="Times New Roman"/>
                <w:sz w:val="21"/>
                <w:szCs w:val="21"/>
                <w:lang w:val="en-US" w:eastAsia="zh-CN"/>
              </w:rPr>
              <w:t>4</w:t>
            </w:r>
            <w:r>
              <w:rPr>
                <w:rFonts w:hint="eastAsia" w:ascii="Times New Roman" w:hAnsi="Times New Roman" w:eastAsia="宋体" w:cs="Times New Roman"/>
                <w:sz w:val="21"/>
                <w:szCs w:val="21"/>
                <w:lang w:val="en-US" w:eastAsia="zh-CN"/>
              </w:rPr>
              <w:t>.3.；考核频率：月</w:t>
            </w:r>
            <w:r>
              <w:rPr>
                <w:rFonts w:hint="eastAsia" w:eastAsia="宋体" w:cs="Times New Roman"/>
                <w:sz w:val="21"/>
                <w:szCs w:val="21"/>
                <w:lang w:val="en-US" w:eastAsia="zh-CN"/>
              </w:rPr>
              <w:t>/次</w:t>
            </w:r>
            <w:r>
              <w:rPr>
                <w:rFonts w:hint="eastAsia" w:ascii="Times New Roman" w:hAnsi="Times New Roman" w:eastAsia="宋体" w:cs="Times New Roman"/>
                <w:sz w:val="21"/>
                <w:szCs w:val="21"/>
                <w:lang w:val="en-US" w:eastAsia="zh-CN"/>
              </w:rPr>
              <w:t>；内容显示：S目标建立以来未曾变更；202</w:t>
            </w:r>
            <w:r>
              <w:rPr>
                <w:rFonts w:hint="eastAsia" w:eastAsia="宋体" w:cs="Times New Roman"/>
                <w:sz w:val="21"/>
                <w:szCs w:val="21"/>
                <w:lang w:val="en-US" w:eastAsia="zh-CN"/>
              </w:rPr>
              <w:t>2</w:t>
            </w:r>
            <w:r>
              <w:rPr>
                <w:rFonts w:hint="eastAsia" w:ascii="Times New Roman" w:hAnsi="Times New Roman" w:eastAsia="宋体" w:cs="Times New Roman"/>
                <w:sz w:val="21"/>
                <w:szCs w:val="21"/>
                <w:lang w:val="en-US" w:eastAsia="zh-CN"/>
              </w:rPr>
              <w:t>年</w:t>
            </w:r>
            <w:r>
              <w:rPr>
                <w:rFonts w:hint="eastAsia" w:eastAsia="宋体" w:cs="Times New Roman"/>
                <w:sz w:val="21"/>
                <w:szCs w:val="21"/>
                <w:lang w:val="en-US" w:eastAsia="zh-CN"/>
              </w:rPr>
              <w:t>Q1</w:t>
            </w:r>
            <w:r>
              <w:rPr>
                <w:rFonts w:hint="eastAsia" w:ascii="Times New Roman" w:hAnsi="Times New Roman" w:eastAsia="宋体" w:cs="Times New Roman"/>
                <w:sz w:val="21"/>
                <w:szCs w:val="21"/>
                <w:lang w:val="en-US" w:eastAsia="zh-CN"/>
              </w:rPr>
              <w:t>公司及部门分解目标均已达成。具体如下：</w:t>
            </w:r>
          </w:p>
          <w:tbl>
            <w:tblPr>
              <w:tblStyle w:val="7"/>
              <w:tblpPr w:leftFromText="180" w:rightFromText="180" w:vertAnchor="text" w:horzAnchor="page" w:tblpX="107" w:tblpY="457"/>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156"/>
              <w:gridCol w:w="908"/>
              <w:gridCol w:w="908"/>
              <w:gridCol w:w="641"/>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8"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240" w:lineRule="auto"/>
                    <w:ind w:firstLine="310" w:firstLineChars="147"/>
                    <w:rPr>
                      <w:b/>
                      <w:sz w:val="21"/>
                      <w:szCs w:val="21"/>
                    </w:rPr>
                  </w:pPr>
                </w:p>
                <w:p>
                  <w:pPr>
                    <w:spacing w:line="240" w:lineRule="auto"/>
                    <w:rPr>
                      <w:rFonts w:hint="eastAsia"/>
                      <w:b/>
                      <w:sz w:val="21"/>
                      <w:szCs w:val="21"/>
                    </w:rPr>
                  </w:pPr>
                  <w:r>
                    <w:rPr>
                      <w:rFonts w:hint="eastAsia"/>
                      <w:b/>
                      <w:sz w:val="21"/>
                      <w:szCs w:val="21"/>
                    </w:rPr>
                    <w:t xml:space="preserve"> 公司目标指标</w:t>
                  </w:r>
                </w:p>
                <w:p>
                  <w:pPr>
                    <w:spacing w:line="240" w:lineRule="auto"/>
                    <w:rPr>
                      <w:rFonts w:hint="eastAsia"/>
                      <w:b/>
                      <w:sz w:val="21"/>
                      <w:szCs w:val="21"/>
                    </w:rPr>
                  </w:pPr>
                </w:p>
                <w:p>
                  <w:pPr>
                    <w:spacing w:line="240" w:lineRule="auto"/>
                    <w:rPr>
                      <w:b/>
                      <w:sz w:val="21"/>
                      <w:szCs w:val="21"/>
                    </w:rPr>
                  </w:pPr>
                  <w:r>
                    <w:rPr>
                      <w:rFonts w:hint="eastAsia"/>
                      <w:b/>
                      <w:sz w:val="21"/>
                      <w:szCs w:val="21"/>
                    </w:rPr>
                    <w:t>部门</w:t>
                  </w:r>
                </w:p>
              </w:tc>
              <w:tc>
                <w:tcPr>
                  <w:tcW w:w="3156" w:type="dxa"/>
                  <w:tcBorders>
                    <w:top w:val="single" w:color="auto" w:sz="4" w:space="0"/>
                    <w:left w:val="single" w:color="auto" w:sz="4" w:space="0"/>
                    <w:bottom w:val="single" w:color="auto" w:sz="4" w:space="0"/>
                    <w:right w:val="nil"/>
                  </w:tcBorders>
                  <w:noWrap w:val="0"/>
                  <w:vAlign w:val="center"/>
                </w:tcPr>
                <w:p>
                  <w:pPr>
                    <w:spacing w:line="240" w:lineRule="auto"/>
                    <w:jc w:val="center"/>
                    <w:rPr>
                      <w:b/>
                      <w:sz w:val="21"/>
                      <w:szCs w:val="21"/>
                    </w:rPr>
                  </w:pPr>
                  <w:r>
                    <w:rPr>
                      <w:rFonts w:hint="eastAsia"/>
                      <w:b/>
                      <w:sz w:val="21"/>
                      <w:szCs w:val="21"/>
                    </w:rPr>
                    <w:t>规</w:t>
                  </w:r>
                  <w:r>
                    <w:rPr>
                      <w:b/>
                      <w:sz w:val="21"/>
                      <w:szCs w:val="21"/>
                    </w:rPr>
                    <w:t xml:space="preserve"> </w:t>
                  </w:r>
                  <w:r>
                    <w:rPr>
                      <w:rFonts w:hint="eastAsia"/>
                      <w:b/>
                      <w:sz w:val="21"/>
                      <w:szCs w:val="21"/>
                    </w:rPr>
                    <w:t>定</w:t>
                  </w:r>
                  <w:r>
                    <w:rPr>
                      <w:b/>
                      <w:sz w:val="21"/>
                      <w:szCs w:val="21"/>
                    </w:rPr>
                    <w:t xml:space="preserve"> </w:t>
                  </w:r>
                  <w:r>
                    <w:rPr>
                      <w:rFonts w:hint="eastAsia"/>
                      <w:b/>
                      <w:sz w:val="21"/>
                      <w:szCs w:val="21"/>
                    </w:rPr>
                    <w:t>指</w:t>
                  </w:r>
                  <w:r>
                    <w:rPr>
                      <w:b/>
                      <w:sz w:val="21"/>
                      <w:szCs w:val="21"/>
                    </w:rPr>
                    <w:t xml:space="preserve"> </w:t>
                  </w:r>
                  <w:r>
                    <w:rPr>
                      <w:rFonts w:hint="eastAsia"/>
                      <w:b/>
                      <w:sz w:val="21"/>
                      <w:szCs w:val="21"/>
                    </w:rPr>
                    <w:t>标</w:t>
                  </w:r>
                </w:p>
              </w:tc>
              <w:tc>
                <w:tcPr>
                  <w:tcW w:w="2457" w:type="dxa"/>
                  <w:gridSpan w:val="3"/>
                  <w:tcBorders>
                    <w:top w:val="single" w:color="auto" w:sz="4" w:space="0"/>
                    <w:left w:val="single" w:color="auto" w:sz="4" w:space="0"/>
                    <w:right w:val="nil"/>
                  </w:tcBorders>
                  <w:noWrap w:val="0"/>
                  <w:vAlign w:val="center"/>
                </w:tcPr>
                <w:p>
                  <w:pPr>
                    <w:spacing w:line="240" w:lineRule="auto"/>
                    <w:jc w:val="center"/>
                    <w:rPr>
                      <w:b/>
                      <w:sz w:val="21"/>
                      <w:szCs w:val="21"/>
                    </w:rPr>
                  </w:pPr>
                  <w:r>
                    <w:rPr>
                      <w:rFonts w:hint="eastAsia"/>
                      <w:b/>
                      <w:sz w:val="21"/>
                      <w:szCs w:val="21"/>
                    </w:rPr>
                    <w:t>实</w:t>
                  </w:r>
                  <w:r>
                    <w:rPr>
                      <w:b/>
                      <w:sz w:val="21"/>
                      <w:szCs w:val="21"/>
                    </w:rPr>
                    <w:t xml:space="preserve"> </w:t>
                  </w:r>
                  <w:r>
                    <w:rPr>
                      <w:rFonts w:hint="eastAsia"/>
                      <w:b/>
                      <w:sz w:val="21"/>
                      <w:szCs w:val="21"/>
                    </w:rPr>
                    <w:t>际</w:t>
                  </w:r>
                  <w:r>
                    <w:rPr>
                      <w:b/>
                      <w:sz w:val="21"/>
                      <w:szCs w:val="21"/>
                    </w:rPr>
                    <w:t xml:space="preserve"> </w:t>
                  </w:r>
                  <w:r>
                    <w:rPr>
                      <w:rFonts w:hint="eastAsia"/>
                      <w:b/>
                      <w:sz w:val="21"/>
                      <w:szCs w:val="21"/>
                    </w:rPr>
                    <w:t>完</w:t>
                  </w:r>
                  <w:r>
                    <w:rPr>
                      <w:b/>
                      <w:sz w:val="21"/>
                      <w:szCs w:val="21"/>
                    </w:rPr>
                    <w:t xml:space="preserve"> </w:t>
                  </w:r>
                  <w:r>
                    <w:rPr>
                      <w:rFonts w:hint="eastAsia"/>
                      <w:b/>
                      <w:sz w:val="21"/>
                      <w:szCs w:val="21"/>
                    </w:rPr>
                    <w:t>成</w:t>
                  </w:r>
                  <w:r>
                    <w:rPr>
                      <w:b/>
                      <w:sz w:val="21"/>
                      <w:szCs w:val="21"/>
                    </w:rPr>
                    <w:t xml:space="preserve"> </w:t>
                  </w:r>
                  <w:r>
                    <w:rPr>
                      <w:rFonts w:hint="eastAsia"/>
                      <w:b/>
                      <w:sz w:val="21"/>
                      <w:szCs w:val="21"/>
                    </w:rPr>
                    <w:t>指</w:t>
                  </w:r>
                  <w:r>
                    <w:rPr>
                      <w:b/>
                      <w:sz w:val="21"/>
                      <w:szCs w:val="21"/>
                    </w:rPr>
                    <w:t xml:space="preserve"> </w:t>
                  </w:r>
                  <w:r>
                    <w:rPr>
                      <w:rFonts w:hint="eastAsia"/>
                      <w:b/>
                      <w:sz w:val="21"/>
                      <w:szCs w:val="21"/>
                    </w:rPr>
                    <w:t>标</w:t>
                  </w:r>
                </w:p>
              </w:tc>
              <w:tc>
                <w:tcPr>
                  <w:tcW w:w="3087" w:type="dxa"/>
                  <w:tcBorders>
                    <w:top w:val="single" w:color="auto" w:sz="4" w:space="0"/>
                    <w:left w:val="nil"/>
                    <w:right w:val="single" w:color="auto" w:sz="4" w:space="0"/>
                  </w:tcBorders>
                  <w:noWrap w:val="0"/>
                  <w:vAlign w:val="center"/>
                </w:tcPr>
                <w:p>
                  <w:pPr>
                    <w:spacing w:line="240" w:lineRule="auto"/>
                    <w:jc w:val="center"/>
                    <w:rPr>
                      <w:b/>
                      <w:sz w:val="21"/>
                      <w:szCs w:val="21"/>
                    </w:rPr>
                  </w:pPr>
                  <w:r>
                    <w:rPr>
                      <w:rFonts w:hint="eastAsia"/>
                      <w:b/>
                      <w:sz w:val="21"/>
                      <w:szCs w:val="21"/>
                    </w:rPr>
                    <w:t>备</w:t>
                  </w:r>
                  <w:r>
                    <w:rPr>
                      <w:b/>
                      <w:sz w:val="21"/>
                      <w:szCs w:val="21"/>
                    </w:rPr>
                    <w:t xml:space="preserve"> </w:t>
                  </w:r>
                  <w:r>
                    <w:rPr>
                      <w:rFonts w:hint="eastAsia"/>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sz w:val="21"/>
                      <w:szCs w:val="21"/>
                    </w:rPr>
                  </w:pPr>
                  <w:r>
                    <w:rPr>
                      <w:rFonts w:hint="eastAsia"/>
                      <w:b/>
                      <w:sz w:val="21"/>
                      <w:szCs w:val="21"/>
                    </w:rPr>
                    <w:t>考</w:t>
                  </w:r>
                  <w:r>
                    <w:rPr>
                      <w:b/>
                      <w:sz w:val="21"/>
                      <w:szCs w:val="21"/>
                    </w:rPr>
                    <w:t xml:space="preserve"> </w:t>
                  </w:r>
                  <w:r>
                    <w:rPr>
                      <w:rFonts w:hint="eastAsia"/>
                      <w:b/>
                      <w:sz w:val="21"/>
                      <w:szCs w:val="21"/>
                    </w:rPr>
                    <w:t>核</w:t>
                  </w:r>
                  <w:r>
                    <w:rPr>
                      <w:b/>
                      <w:sz w:val="21"/>
                      <w:szCs w:val="21"/>
                    </w:rPr>
                    <w:t xml:space="preserve"> </w:t>
                  </w:r>
                  <w:r>
                    <w:rPr>
                      <w:rFonts w:hint="eastAsia"/>
                      <w:b/>
                      <w:sz w:val="21"/>
                      <w:szCs w:val="21"/>
                    </w:rPr>
                    <w:t>项</w:t>
                  </w:r>
                  <w:r>
                    <w:rPr>
                      <w:b/>
                      <w:sz w:val="21"/>
                      <w:szCs w:val="21"/>
                    </w:rPr>
                    <w:t xml:space="preserve"> </w:t>
                  </w:r>
                  <w:r>
                    <w:rPr>
                      <w:rFonts w:hint="eastAsia"/>
                      <w:b/>
                      <w:sz w:val="21"/>
                      <w:szCs w:val="21"/>
                    </w:rPr>
                    <w:t>目 与 要 求</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03" w:firstLineChars="49"/>
                    <w:jc w:val="center"/>
                    <w:rPr>
                      <w:b/>
                      <w:sz w:val="21"/>
                      <w:szCs w:val="21"/>
                    </w:rPr>
                  </w:pPr>
                  <w:r>
                    <w:rPr>
                      <w:rFonts w:hint="eastAsia"/>
                      <w:b/>
                      <w:sz w:val="21"/>
                      <w:szCs w:val="21"/>
                    </w:rPr>
                    <w:t>考核数</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03" w:firstLineChars="49"/>
                    <w:jc w:val="center"/>
                    <w:rPr>
                      <w:b/>
                      <w:sz w:val="21"/>
                      <w:szCs w:val="21"/>
                    </w:rPr>
                  </w:pPr>
                  <w:r>
                    <w:rPr>
                      <w:rFonts w:hint="eastAsia"/>
                      <w:b/>
                      <w:sz w:val="21"/>
                      <w:szCs w:val="21"/>
                    </w:rPr>
                    <w:t>合格数</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sz w:val="21"/>
                      <w:szCs w:val="21"/>
                    </w:rPr>
                  </w:pPr>
                  <w:r>
                    <w:rPr>
                      <w:rFonts w:hint="eastAsia"/>
                      <w:b/>
                      <w:sz w:val="21"/>
                      <w:szCs w:val="21"/>
                    </w:rPr>
                    <w:t>合格率</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sz w:val="21"/>
                      <w:szCs w:val="21"/>
                    </w:rPr>
                  </w:pPr>
                  <w:r>
                    <w:rPr>
                      <w:rFonts w:hint="eastAsia"/>
                      <w:b/>
                      <w:sz w:val="21"/>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tcBorders>
                    <w:top w:val="single" w:color="auto" w:sz="4" w:space="0"/>
                    <w:left w:val="single" w:color="auto" w:sz="4" w:space="0"/>
                    <w:right w:val="single" w:color="auto" w:sz="4" w:space="0"/>
                  </w:tcBorders>
                  <w:noWrap w:val="0"/>
                  <w:vAlign w:val="center"/>
                </w:tcPr>
                <w:p>
                  <w:pPr>
                    <w:spacing w:line="240" w:lineRule="auto"/>
                    <w:rPr>
                      <w:rFonts w:hint="eastAsia"/>
                      <w:b/>
                      <w:sz w:val="21"/>
                      <w:szCs w:val="21"/>
                    </w:rPr>
                  </w:pPr>
                  <w:r>
                    <w:rPr>
                      <w:rFonts w:hint="eastAsia"/>
                      <w:b/>
                      <w:sz w:val="21"/>
                      <w:szCs w:val="21"/>
                    </w:rPr>
                    <w:t>环境目标指标</w:t>
                  </w: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lang w:val="en-US" w:eastAsia="zh-CN"/>
                    </w:rPr>
                    <w:t>1、</w:t>
                  </w:r>
                  <w:r>
                    <w:rPr>
                      <w:rFonts w:hint="eastAsia"/>
                      <w:bCs/>
                      <w:sz w:val="21"/>
                      <w:szCs w:val="21"/>
                    </w:rPr>
                    <w:t>固体废弃物分类处理率达100%</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rFonts w:hint="eastAsia"/>
                      <w:sz w:val="21"/>
                      <w:szCs w:val="21"/>
                      <w:lang w:val="en-US" w:eastAsia="zh-CN"/>
                    </w:rPr>
                    <w:t>3</w:t>
                  </w:r>
                  <w:r>
                    <w:rPr>
                      <w:sz w:val="21"/>
                      <w:szCs w:val="21"/>
                    </w:rPr>
                    <w:t>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rFonts w:hint="eastAsia"/>
                      <w:sz w:val="21"/>
                      <w:szCs w:val="21"/>
                      <w:lang w:val="en-US" w:eastAsia="zh-CN"/>
                    </w:rPr>
                    <w:t>3</w:t>
                  </w:r>
                  <w:r>
                    <w:rPr>
                      <w:sz w:val="21"/>
                      <w:szCs w:val="21"/>
                    </w:rPr>
                    <w:t>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固废能及时进行分类，处理率达到100%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tcBorders>
                    <w:left w:val="single" w:color="auto" w:sz="4" w:space="0"/>
                    <w:right w:val="single" w:color="auto" w:sz="4" w:space="0"/>
                  </w:tcBorders>
                  <w:noWrap w:val="0"/>
                  <w:vAlign w:val="center"/>
                </w:tcPr>
                <w:p>
                  <w:pPr>
                    <w:widowControl/>
                    <w:spacing w:line="240" w:lineRule="auto"/>
                    <w:jc w:val="center"/>
                    <w:rPr>
                      <w:b/>
                      <w:sz w:val="21"/>
                      <w:szCs w:val="21"/>
                    </w:rPr>
                  </w:pPr>
                  <w:r>
                    <w:rPr>
                      <w:rFonts w:hint="eastAsia"/>
                      <w:b/>
                      <w:sz w:val="21"/>
                      <w:szCs w:val="21"/>
                    </w:rPr>
                    <w:t>安全目标</w:t>
                  </w: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hAnsi="宋体" w:cs="宋体"/>
                      <w:bCs/>
                      <w:sz w:val="21"/>
                      <w:szCs w:val="21"/>
                    </w:rPr>
                    <w:t>1、</w:t>
                  </w:r>
                  <w:r>
                    <w:rPr>
                      <w:bCs/>
                      <w:sz w:val="21"/>
                      <w:szCs w:val="21"/>
                    </w:rPr>
                    <w:t>杜绝</w:t>
                  </w:r>
                  <w:r>
                    <w:rPr>
                      <w:rFonts w:hint="eastAsia"/>
                      <w:bCs/>
                      <w:sz w:val="21"/>
                      <w:szCs w:val="21"/>
                      <w:lang w:val="en-US" w:eastAsia="zh-CN"/>
                    </w:rPr>
                    <w:t>火灾触电</w:t>
                  </w:r>
                  <w:r>
                    <w:rPr>
                      <w:bCs/>
                      <w:sz w:val="21"/>
                      <w:szCs w:val="21"/>
                    </w:rPr>
                    <w:t>事故</w:t>
                  </w:r>
                  <w:r>
                    <w:rPr>
                      <w:rFonts w:hint="eastAsia"/>
                      <w:bCs/>
                      <w:sz w:val="21"/>
                      <w:szCs w:val="21"/>
                    </w:rPr>
                    <w:t>；</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sz w:val="21"/>
                      <w:szCs w:val="21"/>
                    </w:rPr>
                    <w:t>0</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sz w:val="21"/>
                      <w:szCs w:val="21"/>
                    </w:rPr>
                    <w:t>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rFonts w:hint="eastAsia"/>
                      <w:sz w:val="21"/>
                      <w:szCs w:val="21"/>
                    </w:rPr>
                    <w:t>达标</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重大安全事故和伤亡事故发生次数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restart"/>
                  <w:tcBorders>
                    <w:left w:val="single" w:color="auto" w:sz="4" w:space="0"/>
                    <w:right w:val="single" w:color="auto" w:sz="4" w:space="0"/>
                  </w:tcBorders>
                  <w:noWrap w:val="0"/>
                  <w:vAlign w:val="center"/>
                </w:tcPr>
                <w:p>
                  <w:pPr>
                    <w:spacing w:line="240" w:lineRule="auto"/>
                    <w:ind w:firstLine="310" w:firstLineChars="147"/>
                    <w:jc w:val="center"/>
                    <w:rPr>
                      <w:rFonts w:hint="eastAsia"/>
                      <w:b/>
                      <w:sz w:val="21"/>
                      <w:szCs w:val="21"/>
                    </w:rPr>
                  </w:pPr>
                  <w:r>
                    <w:rPr>
                      <w:rFonts w:hint="eastAsia"/>
                      <w:b/>
                      <w:sz w:val="21"/>
                      <w:szCs w:val="21"/>
                    </w:rPr>
                    <w:t>质量目标</w:t>
                  </w: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1、</w:t>
                  </w:r>
                  <w:r>
                    <w:rPr>
                      <w:rFonts w:hint="eastAsia" w:hAnsi="宋体" w:cs="宋体"/>
                      <w:bCs/>
                      <w:sz w:val="21"/>
                      <w:szCs w:val="21"/>
                    </w:rPr>
                    <w:t>产品交付顾客验收合格率100%</w:t>
                  </w:r>
                  <w:r>
                    <w:rPr>
                      <w:rFonts w:hint="eastAsia" w:ascii="宋体"/>
                      <w:sz w:val="21"/>
                      <w:szCs w:val="21"/>
                    </w:rPr>
                    <w:t>；</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4</w:t>
                  </w:r>
                  <w:r>
                    <w:rPr>
                      <w:rFonts w:hint="eastAsia"/>
                      <w:sz w:val="21"/>
                      <w:szCs w:val="21"/>
                    </w:rPr>
                    <w:t>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4</w:t>
                  </w:r>
                  <w:r>
                    <w:rPr>
                      <w:rFonts w:hint="eastAsia"/>
                      <w:sz w:val="21"/>
                      <w:szCs w:val="21"/>
                    </w:rPr>
                    <w:t>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ascii="宋体" w:hAnsi="宋体"/>
                      <w:sz w:val="21"/>
                      <w:szCs w:val="21"/>
                    </w:rPr>
                    <w:t>合格批次/交付批次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18" w:type="dxa"/>
                  <w:vMerge w:val="continue"/>
                  <w:tcBorders>
                    <w:left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2、顾客满意度≥90%；</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sz w:val="21"/>
                      <w:szCs w:val="21"/>
                      <w:lang w:eastAsia="zh-CN"/>
                    </w:rPr>
                  </w:pPr>
                  <w:r>
                    <w:rPr>
                      <w:rFonts w:hint="eastAsia"/>
                      <w:sz w:val="21"/>
                      <w:szCs w:val="21"/>
                      <w:lang w:val="en-US" w:eastAsia="zh-CN"/>
                    </w:rPr>
                    <w:t>/</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顾客满意数/接受服务满意度调查的顾客数，按公式求百分率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continue"/>
                  <w:tcBorders>
                    <w:left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eastAsia="宋体"/>
                      <w:bCs/>
                      <w:sz w:val="21"/>
                      <w:szCs w:val="21"/>
                      <w:lang w:val="en-US" w:eastAsia="zh-CN"/>
                    </w:rPr>
                  </w:pPr>
                  <w:r>
                    <w:rPr>
                      <w:rFonts w:hint="eastAsia"/>
                      <w:bCs/>
                      <w:sz w:val="21"/>
                      <w:szCs w:val="21"/>
                      <w:lang w:val="en-US" w:eastAsia="zh-CN"/>
                    </w:rPr>
                    <w:t>3、销售服务质量考核合格率≥95%</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lang w:val="en-US" w:eastAsia="zh-CN"/>
                    </w:rPr>
                  </w:pPr>
                  <w:r>
                    <w:rPr>
                      <w:rFonts w:hint="eastAsia"/>
                      <w:sz w:val="21"/>
                      <w:szCs w:val="21"/>
                      <w:lang w:val="en-US" w:eastAsia="zh-CN"/>
                    </w:rPr>
                    <w:t>4</w:t>
                  </w:r>
                  <w:r>
                    <w:rPr>
                      <w:rFonts w:hint="eastAsia"/>
                      <w:sz w:val="21"/>
                      <w:szCs w:val="21"/>
                    </w:rPr>
                    <w:t>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lang w:val="en-US" w:eastAsia="zh-CN"/>
                    </w:rPr>
                  </w:pPr>
                  <w:r>
                    <w:rPr>
                      <w:rFonts w:hint="eastAsia"/>
                      <w:sz w:val="21"/>
                      <w:szCs w:val="21"/>
                      <w:lang w:val="en-US" w:eastAsia="zh-CN"/>
                    </w:rPr>
                    <w:t>4</w:t>
                  </w:r>
                  <w:r>
                    <w:rPr>
                      <w:rFonts w:hint="eastAsia"/>
                      <w:sz w:val="21"/>
                      <w:szCs w:val="21"/>
                    </w:rPr>
                    <w:t>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ascii="宋体" w:hAnsi="宋体"/>
                      <w:sz w:val="21"/>
                      <w:szCs w:val="21"/>
                    </w:rPr>
                    <w:t>合格</w:t>
                  </w:r>
                  <w:r>
                    <w:rPr>
                      <w:rFonts w:hint="eastAsia" w:ascii="宋体" w:hAnsi="宋体"/>
                      <w:sz w:val="21"/>
                      <w:szCs w:val="21"/>
                      <w:lang w:val="en-US" w:eastAsia="zh-CN"/>
                    </w:rPr>
                    <w:t>次数</w:t>
                  </w:r>
                  <w:r>
                    <w:rPr>
                      <w:rFonts w:hint="eastAsia" w:ascii="宋体" w:hAnsi="宋体"/>
                      <w:sz w:val="21"/>
                      <w:szCs w:val="21"/>
                    </w:rPr>
                    <w:t>/交付批次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restart"/>
                  <w:tcBorders>
                    <w:left w:val="single" w:color="auto" w:sz="4" w:space="0"/>
                    <w:right w:val="single" w:color="auto" w:sz="4" w:space="0"/>
                  </w:tcBorders>
                  <w:noWrap w:val="0"/>
                  <w:vAlign w:val="center"/>
                </w:tcPr>
                <w:p>
                  <w:pPr>
                    <w:spacing w:line="240" w:lineRule="auto"/>
                    <w:ind w:firstLine="413" w:firstLineChars="196"/>
                    <w:rPr>
                      <w:rFonts w:hint="eastAsia"/>
                      <w:b/>
                      <w:sz w:val="21"/>
                      <w:szCs w:val="21"/>
                    </w:rPr>
                  </w:pPr>
                  <w:r>
                    <w:rPr>
                      <w:rFonts w:hint="eastAsia"/>
                      <w:b/>
                      <w:sz w:val="21"/>
                      <w:szCs w:val="21"/>
                    </w:rPr>
                    <w:t>办公室</w:t>
                  </w: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1、文件失控率小于5%；</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30</w:t>
                  </w:r>
                  <w:r>
                    <w:rPr>
                      <w:rFonts w:hint="eastAsia"/>
                      <w:sz w:val="21"/>
                      <w:szCs w:val="21"/>
                    </w:rPr>
                    <w:t>份</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30</w:t>
                  </w:r>
                  <w:r>
                    <w:rPr>
                      <w:rFonts w:hint="eastAsia"/>
                      <w:sz w:val="21"/>
                      <w:szCs w:val="21"/>
                    </w:rPr>
                    <w:t>份</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实际发放的文件符合要求，无失控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continue"/>
                  <w:tcBorders>
                    <w:left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2、培训合格率≥95%；</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5</w:t>
                  </w:r>
                  <w:r>
                    <w:rPr>
                      <w:rFonts w:hint="eastAsia"/>
                      <w:sz w:val="21"/>
                      <w:szCs w:val="21"/>
                    </w:rPr>
                    <w:t>人次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lang w:val="en-US" w:eastAsia="zh-CN"/>
                    </w:rPr>
                    <w:t>5</w:t>
                  </w:r>
                  <w:r>
                    <w:rPr>
                      <w:rFonts w:hint="eastAsia"/>
                      <w:sz w:val="21"/>
                      <w:szCs w:val="21"/>
                    </w:rPr>
                    <w:t>人次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参加培训人数/考评合格人数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continue"/>
                  <w:tcBorders>
                    <w:left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eastAsia="宋体"/>
                      <w:bCs/>
                      <w:sz w:val="21"/>
                      <w:szCs w:val="21"/>
                      <w:lang w:eastAsia="zh-CN"/>
                    </w:rPr>
                  </w:pPr>
                  <w:r>
                    <w:rPr>
                      <w:rFonts w:hint="eastAsia"/>
                      <w:bCs/>
                      <w:sz w:val="21"/>
                      <w:szCs w:val="21"/>
                    </w:rPr>
                    <w:t>3、</w:t>
                  </w:r>
                  <w:r>
                    <w:rPr>
                      <w:rFonts w:hint="eastAsia"/>
                      <w:bCs/>
                      <w:sz w:val="21"/>
                      <w:szCs w:val="21"/>
                      <w:lang w:eastAsia="zh-CN"/>
                    </w:rPr>
                    <w:t>固体废弃物分类处理率达100%</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rFonts w:hint="eastAsia"/>
                      <w:sz w:val="21"/>
                      <w:szCs w:val="21"/>
                      <w:lang w:val="en-US" w:eastAsia="zh-CN"/>
                    </w:rPr>
                    <w:t>3</w:t>
                  </w:r>
                  <w:r>
                    <w:rPr>
                      <w:sz w:val="21"/>
                      <w:szCs w:val="21"/>
                    </w:rPr>
                    <w:t>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rFonts w:hint="eastAsia"/>
                      <w:sz w:val="21"/>
                      <w:szCs w:val="21"/>
                      <w:lang w:val="en-US" w:eastAsia="zh-CN"/>
                    </w:rPr>
                    <w:t>3</w:t>
                  </w:r>
                  <w:r>
                    <w:rPr>
                      <w:sz w:val="21"/>
                      <w:szCs w:val="21"/>
                    </w:rPr>
                    <w:t>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r>
                    <w:rPr>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固废能及时进行分类，处理率达到100%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continue"/>
                  <w:tcBorders>
                    <w:left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4、不发生火灾、触电事故；</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sz w:val="21"/>
                      <w:szCs w:val="21"/>
                    </w:rPr>
                    <w:t>0</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sz w:val="21"/>
                      <w:szCs w:val="21"/>
                    </w:rPr>
                    <w:t>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rPr>
                    <w:t>达标</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bCs/>
                      <w:sz w:val="21"/>
                      <w:szCs w:val="21"/>
                    </w:rPr>
                    <w:t>触电火灾事故发生人员受伤及伤亡数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18" w:type="dxa"/>
                  <w:vMerge w:val="continue"/>
                  <w:tcBorders>
                    <w:left w:val="single" w:color="auto" w:sz="4" w:space="0"/>
                    <w:right w:val="single" w:color="auto" w:sz="4" w:space="0"/>
                  </w:tcBorders>
                  <w:noWrap w:val="0"/>
                  <w:vAlign w:val="center"/>
                </w:tcPr>
                <w:p>
                  <w:pPr>
                    <w:spacing w:line="240" w:lineRule="auto"/>
                    <w:rPr>
                      <w:sz w:val="21"/>
                      <w:szCs w:val="21"/>
                    </w:rPr>
                  </w:pPr>
                </w:p>
              </w:tc>
              <w:tc>
                <w:tcPr>
                  <w:tcW w:w="3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r>
                    <w:rPr>
                      <w:rFonts w:hint="eastAsia" w:ascii="宋体"/>
                      <w:sz w:val="21"/>
                      <w:szCs w:val="21"/>
                      <w:lang w:val="en-US" w:eastAsia="zh-CN"/>
                    </w:rPr>
                    <w:t>5</w:t>
                  </w:r>
                  <w:r>
                    <w:rPr>
                      <w:rFonts w:hint="eastAsia" w:ascii="宋体"/>
                      <w:sz w:val="21"/>
                      <w:szCs w:val="21"/>
                    </w:rPr>
                    <w:t>、保障管理体系运行所需资金100%及时到位；</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z w:val="21"/>
                      <w:szCs w:val="21"/>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sz w:val="21"/>
                      <w:szCs w:val="21"/>
                    </w:rPr>
                  </w:pPr>
                  <w:r>
                    <w:rPr>
                      <w:rFonts w:hint="eastAsia"/>
                      <w:sz w:val="21"/>
                      <w:szCs w:val="21"/>
                    </w:rPr>
                    <w:t>100%</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bCs/>
                      <w:sz w:val="21"/>
                      <w:szCs w:val="21"/>
                    </w:rPr>
                  </w:pPr>
                </w:p>
              </w:tc>
            </w:tr>
          </w:tbl>
          <w:p>
            <w:pPr>
              <w:spacing w:line="240" w:lineRule="auto"/>
              <w:jc w:val="left"/>
              <w:rPr>
                <w:rFonts w:hint="eastAsia" w:eastAsia="宋体" w:cs="Times New Roman"/>
                <w:sz w:val="21"/>
                <w:szCs w:val="21"/>
                <w:lang w:val="en-US" w:eastAsia="zh-CN"/>
              </w:rPr>
            </w:pPr>
          </w:p>
          <w:p>
            <w:pPr>
              <w:spacing w:line="240" w:lineRule="auto"/>
              <w:jc w:val="left"/>
              <w:rPr>
                <w:rFonts w:hint="eastAsia" w:eastAsia="宋体" w:cs="Times New Roman"/>
                <w:sz w:val="21"/>
                <w:szCs w:val="21"/>
                <w:lang w:val="en-US" w:eastAsia="zh-CN"/>
              </w:rPr>
            </w:pPr>
            <w:r>
              <w:rPr>
                <w:rFonts w:hint="eastAsia" w:eastAsia="宋体" w:cs="Times New Roman"/>
                <w:sz w:val="21"/>
                <w:szCs w:val="21"/>
                <w:lang w:val="en-US" w:eastAsia="zh-CN"/>
              </w:rPr>
              <w:t>---查“职业健康安全管理方案”，2021.11.2.；包括对火灾、触电等安全风险金进行管控，分析了现状、策划了目标指标及管理措施，落实到部门、责任人及控制时间。抽查：</w:t>
            </w:r>
          </w:p>
          <w:p>
            <w:pPr>
              <w:spacing w:line="240" w:lineRule="auto"/>
              <w:jc w:val="left"/>
              <w:rPr>
                <w:rFonts w:hint="eastAsia" w:eastAsia="宋体" w:cs="Times New Roman"/>
                <w:sz w:val="21"/>
                <w:szCs w:val="21"/>
                <w:lang w:val="en-US" w:eastAsia="zh-CN"/>
              </w:rPr>
            </w:pPr>
            <w:r>
              <w:rPr>
                <w:rFonts w:hint="eastAsia" w:eastAsia="宋体" w:cs="Times New Roman"/>
                <w:sz w:val="21"/>
                <w:szCs w:val="21"/>
                <w:lang w:val="en-US" w:eastAsia="zh-CN"/>
              </w:rPr>
              <w:t>火灾隐患 ：</w:t>
            </w:r>
          </w:p>
          <w:p>
            <w:pPr>
              <w:spacing w:line="240" w:lineRule="auto"/>
              <w:jc w:val="left"/>
              <w:rPr>
                <w:rFonts w:hint="eastAsia" w:eastAsia="宋体" w:cs="Times New Roman"/>
                <w:sz w:val="21"/>
                <w:szCs w:val="21"/>
                <w:lang w:val="en-US" w:eastAsia="zh-CN"/>
              </w:rPr>
            </w:pPr>
            <w:r>
              <w:rPr>
                <w:rFonts w:hint="eastAsia" w:eastAsia="宋体" w:cs="Times New Roman"/>
                <w:sz w:val="21"/>
                <w:szCs w:val="21"/>
                <w:lang w:val="en-US" w:eastAsia="zh-CN"/>
              </w:rPr>
              <w:t>管理现状： 人员消防意识较差、部分区域消防器材配备不足、无警示性标识。</w:t>
            </w:r>
          </w:p>
          <w:p>
            <w:pPr>
              <w:spacing w:line="240" w:lineRule="auto"/>
              <w:jc w:val="left"/>
              <w:rPr>
                <w:rFonts w:hint="eastAsia" w:eastAsia="宋体" w:cs="Times New Roman"/>
                <w:sz w:val="21"/>
                <w:szCs w:val="21"/>
                <w:lang w:val="en-US" w:eastAsia="zh-CN"/>
              </w:rPr>
            </w:pPr>
            <w:r>
              <w:rPr>
                <w:rFonts w:hint="eastAsia" w:eastAsia="宋体" w:cs="Times New Roman"/>
                <w:sz w:val="21"/>
                <w:szCs w:val="21"/>
                <w:lang w:val="en-US" w:eastAsia="zh-CN"/>
              </w:rPr>
              <w:t>目标及指标： 杜绝火灾发生。</w:t>
            </w:r>
          </w:p>
          <w:p>
            <w:pPr>
              <w:spacing w:line="240" w:lineRule="auto"/>
              <w:jc w:val="left"/>
              <w:rPr>
                <w:rFonts w:hint="eastAsia" w:eastAsia="宋体" w:cs="Times New Roman"/>
                <w:sz w:val="21"/>
                <w:szCs w:val="21"/>
                <w:lang w:val="en-US" w:eastAsia="zh-CN"/>
              </w:rPr>
            </w:pPr>
            <w:r>
              <w:rPr>
                <w:rFonts w:hint="eastAsia" w:eastAsia="宋体" w:cs="Times New Roman"/>
                <w:sz w:val="21"/>
                <w:szCs w:val="21"/>
                <w:lang w:val="en-US" w:eastAsia="zh-CN"/>
              </w:rPr>
              <w:t>管理方案、目标指标完成情况及评价记录：</w:t>
            </w:r>
          </w:p>
          <w:p>
            <w:pPr>
              <w:spacing w:line="240" w:lineRule="auto"/>
              <w:jc w:val="left"/>
              <w:rPr>
                <w:rFonts w:hint="eastAsia" w:eastAsia="宋体" w:cs="Times New Roman"/>
                <w:sz w:val="21"/>
                <w:szCs w:val="21"/>
                <w:lang w:val="zh-CN" w:eastAsia="zh-CN"/>
              </w:rPr>
            </w:pPr>
            <w:r>
              <w:rPr>
                <w:rFonts w:hint="eastAsia" w:eastAsia="宋体" w:cs="Times New Roman"/>
                <w:sz w:val="21"/>
                <w:szCs w:val="21"/>
                <w:lang w:val="en-US" w:eastAsia="zh-CN"/>
              </w:rPr>
              <w:t>办公室对人员进行了培训，供销部对标识、灭火器均在有效期内，进行了统一分类存放，对火灾进行了应急演练，均</w:t>
            </w:r>
            <w:r>
              <w:rPr>
                <w:rFonts w:hint="eastAsia" w:eastAsia="宋体" w:cs="Times New Roman"/>
                <w:sz w:val="21"/>
                <w:szCs w:val="21"/>
                <w:lang w:val="zh-CN" w:eastAsia="zh-CN"/>
              </w:rPr>
              <w:t>已按计划实施，经验证措施合理、有效，经济合理。</w:t>
            </w:r>
          </w:p>
          <w:p>
            <w:pPr>
              <w:spacing w:line="240" w:lineRule="auto"/>
              <w:jc w:val="left"/>
              <w:rPr>
                <w:rFonts w:hint="eastAsia" w:eastAsia="宋体" w:cs="Times New Roman"/>
                <w:sz w:val="21"/>
                <w:szCs w:val="21"/>
                <w:lang w:val="en-US" w:eastAsia="zh-CN"/>
              </w:rPr>
            </w:pPr>
          </w:p>
          <w:p>
            <w:pPr>
              <w:spacing w:line="240" w:lineRule="auto"/>
              <w:jc w:val="left"/>
              <w:rPr>
                <w:rFonts w:hint="eastAsia" w:eastAsia="宋体" w:cs="Times New Roman"/>
                <w:sz w:val="21"/>
                <w:szCs w:val="21"/>
                <w:lang w:val="en-US" w:eastAsia="zh-CN"/>
              </w:rPr>
            </w:pPr>
            <w:r>
              <w:rPr>
                <w:rFonts w:hint="eastAsia" w:eastAsia="宋体" w:cs="Times New Roman"/>
                <w:sz w:val="21"/>
                <w:szCs w:val="21"/>
                <w:lang w:val="en-US" w:eastAsia="zh-CN"/>
              </w:rPr>
              <w:t>签字：  常建立                                           日期：  2022年3月25日</w:t>
            </w:r>
          </w:p>
          <w:p>
            <w:pPr>
              <w:pStyle w:val="2"/>
              <w:spacing w:line="240" w:lineRule="auto"/>
              <w:rPr>
                <w:rFonts w:hint="eastAsia"/>
                <w:sz w:val="21"/>
                <w:szCs w:val="21"/>
                <w:lang w:val="en-US" w:eastAsia="zh-CN"/>
              </w:rPr>
            </w:pPr>
          </w:p>
          <w:bookmarkEnd w:id="2"/>
          <w:p>
            <w:pPr>
              <w:spacing w:line="24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目标管理过程基本符合要求。</w:t>
            </w:r>
          </w:p>
          <w:p>
            <w:pPr>
              <w:spacing w:line="240" w:lineRule="auto"/>
              <w:rPr>
                <w:sz w:val="21"/>
                <w:szCs w:val="21"/>
              </w:rPr>
            </w:pP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default" w:eastAsia="宋体"/>
                <w:sz w:val="21"/>
                <w:szCs w:val="21"/>
                <w:lang w:val="en-US" w:eastAsia="zh-CN"/>
              </w:rPr>
            </w:pPr>
            <w:r>
              <w:rPr>
                <w:rFonts w:hint="eastAsia"/>
                <w:sz w:val="21"/>
                <w:szCs w:val="21"/>
              </w:rPr>
              <w:t>环境因素</w:t>
            </w:r>
            <w:r>
              <w:rPr>
                <w:rFonts w:hint="eastAsia"/>
                <w:sz w:val="21"/>
                <w:szCs w:val="21"/>
                <w:lang w:eastAsia="zh-CN"/>
              </w:rPr>
              <w:t>、</w:t>
            </w:r>
            <w:r>
              <w:rPr>
                <w:rFonts w:hint="eastAsia"/>
                <w:sz w:val="21"/>
                <w:szCs w:val="21"/>
              </w:rPr>
              <w:t>危险源</w:t>
            </w:r>
            <w:r>
              <w:rPr>
                <w:rFonts w:hint="eastAsia"/>
                <w:sz w:val="21"/>
                <w:szCs w:val="21"/>
                <w:lang w:val="en-US" w:eastAsia="zh-CN"/>
              </w:rPr>
              <w:t>及职业健康安全风险和机遇的识别、评价及措施</w:t>
            </w:r>
          </w:p>
          <w:p>
            <w:pPr>
              <w:spacing w:line="240" w:lineRule="auto"/>
              <w:rPr>
                <w:sz w:val="21"/>
                <w:szCs w:val="21"/>
              </w:rPr>
            </w:pPr>
          </w:p>
        </w:tc>
        <w:tc>
          <w:tcPr>
            <w:tcW w:w="960" w:type="dxa"/>
          </w:tcPr>
          <w:p>
            <w:pPr>
              <w:spacing w:line="240" w:lineRule="auto"/>
              <w:rPr>
                <w:rFonts w:hint="default" w:eastAsia="宋体"/>
                <w:sz w:val="21"/>
                <w:szCs w:val="21"/>
                <w:lang w:val="en-US" w:eastAsia="zh-CN"/>
              </w:rPr>
            </w:pPr>
            <w:r>
              <w:rPr>
                <w:rFonts w:hint="eastAsia"/>
                <w:sz w:val="21"/>
                <w:szCs w:val="21"/>
                <w:lang w:val="en-US" w:eastAsia="zh-CN"/>
              </w:rPr>
              <w:t>S6.1.2、6.1.4</w:t>
            </w:r>
          </w:p>
        </w:tc>
        <w:tc>
          <w:tcPr>
            <w:tcW w:w="10004" w:type="dxa"/>
          </w:tcPr>
          <w:p>
            <w:pPr>
              <w:spacing w:line="240" w:lineRule="auto"/>
              <w:jc w:val="left"/>
              <w:rPr>
                <w:rFonts w:hint="eastAsia"/>
                <w:sz w:val="21"/>
                <w:szCs w:val="21"/>
                <w:lang w:val="en-US" w:eastAsia="zh-CN"/>
              </w:rPr>
            </w:pPr>
            <w:r>
              <w:rPr>
                <w:rFonts w:hint="eastAsia"/>
                <w:sz w:val="21"/>
                <w:szCs w:val="21"/>
                <w:lang w:val="en-US" w:eastAsia="zh-CN"/>
              </w:rPr>
              <w:t>---制订有《危险源辨识、风险评价和风险控制程序》、《风险和机遇的应对控制程序》，策划有运行准则，本部门主控。</w:t>
            </w:r>
          </w:p>
          <w:p>
            <w:pPr>
              <w:spacing w:line="240" w:lineRule="auto"/>
              <w:jc w:val="left"/>
              <w:rPr>
                <w:rFonts w:hint="eastAsia"/>
                <w:sz w:val="21"/>
                <w:szCs w:val="21"/>
                <w:lang w:val="en-US" w:eastAsia="zh-CN"/>
              </w:rPr>
            </w:pPr>
            <w:r>
              <w:rPr>
                <w:rFonts w:hint="eastAsia"/>
                <w:sz w:val="21"/>
                <w:szCs w:val="21"/>
                <w:lang w:val="en-US" w:eastAsia="zh-CN"/>
              </w:rPr>
              <w:t>---查“危险源辩识及风险评价表”2022.1.3.；识别与本部门有关的危险源和职业健康安全管理体系的其他风险具体有：不遵守交通法规,发生交通事故、电线老化，导致触电、复印机辐射伤害、防护不当导致病毒感染等共51项。</w:t>
            </w:r>
          </w:p>
          <w:p>
            <w:pPr>
              <w:spacing w:line="240" w:lineRule="auto"/>
              <w:jc w:val="left"/>
              <w:rPr>
                <w:rFonts w:hint="eastAsia"/>
                <w:sz w:val="21"/>
                <w:szCs w:val="21"/>
                <w:lang w:val="en-US" w:eastAsia="zh-CN"/>
              </w:rPr>
            </w:pPr>
            <w:r>
              <w:rPr>
                <w:rFonts w:hint="eastAsia"/>
                <w:sz w:val="21"/>
                <w:szCs w:val="21"/>
                <w:lang w:val="en-US" w:eastAsia="zh-CN"/>
              </w:rPr>
              <w:t>---查“不可接受风险清单”清单，识别的主要危险源及职业健康安全风险：</w:t>
            </w:r>
          </w:p>
          <w:p>
            <w:pPr>
              <w:spacing w:line="240" w:lineRule="auto"/>
              <w:jc w:val="left"/>
              <w:rPr>
                <w:rFonts w:hint="default" w:eastAsia="宋体"/>
                <w:sz w:val="21"/>
                <w:szCs w:val="21"/>
                <w:lang w:val="en-US" w:eastAsia="zh-CN"/>
              </w:rPr>
            </w:pPr>
            <w:r>
              <w:rPr>
                <w:rFonts w:hint="eastAsia"/>
                <w:sz w:val="21"/>
                <w:szCs w:val="21"/>
                <w:lang w:val="en-US" w:eastAsia="zh-CN"/>
              </w:rPr>
              <w:t>1</w:t>
            </w:r>
            <w:r>
              <w:rPr>
                <w:rFonts w:hint="eastAsia" w:eastAsia="宋体"/>
                <w:sz w:val="21"/>
                <w:szCs w:val="21"/>
                <w:lang w:val="en-US" w:eastAsia="zh-CN"/>
              </w:rPr>
              <w:t>、</w:t>
            </w:r>
            <w:r>
              <w:rPr>
                <w:rFonts w:hint="default" w:eastAsia="宋体"/>
                <w:sz w:val="21"/>
                <w:szCs w:val="21"/>
                <w:lang w:val="en-US" w:eastAsia="zh-CN"/>
              </w:rPr>
              <w:t>办公区吸烟、电器漏电</w:t>
            </w:r>
            <w:r>
              <w:rPr>
                <w:rFonts w:hint="default" w:eastAsia="宋体"/>
                <w:sz w:val="21"/>
                <w:szCs w:val="21"/>
                <w:lang w:val="en-US" w:eastAsia="zh-CN"/>
              </w:rPr>
              <w:tab/>
            </w:r>
            <w:r>
              <w:rPr>
                <w:rFonts w:hint="eastAsia" w:eastAsia="宋体"/>
                <w:sz w:val="21"/>
                <w:szCs w:val="21"/>
                <w:lang w:val="en-US" w:eastAsia="zh-CN"/>
              </w:rPr>
              <w:t>/</w:t>
            </w:r>
            <w:r>
              <w:rPr>
                <w:rFonts w:hint="default" w:eastAsia="宋体"/>
                <w:sz w:val="21"/>
                <w:szCs w:val="21"/>
                <w:lang w:val="en-US" w:eastAsia="zh-CN"/>
              </w:rPr>
              <w:t xml:space="preserve"> 引发火灾</w:t>
            </w:r>
          </w:p>
          <w:p>
            <w:pPr>
              <w:spacing w:line="240" w:lineRule="auto"/>
              <w:jc w:val="left"/>
              <w:rPr>
                <w:rFonts w:hint="default" w:eastAsia="宋体"/>
                <w:sz w:val="21"/>
                <w:szCs w:val="21"/>
                <w:lang w:val="en-US" w:eastAsia="zh-CN"/>
              </w:rPr>
            </w:pPr>
            <w:r>
              <w:rPr>
                <w:rFonts w:hint="eastAsia" w:eastAsia="宋体"/>
                <w:sz w:val="21"/>
                <w:szCs w:val="21"/>
                <w:lang w:val="en-US" w:eastAsia="zh-CN"/>
              </w:rPr>
              <w:t>2、</w:t>
            </w:r>
            <w:r>
              <w:rPr>
                <w:rFonts w:hint="default" w:eastAsia="宋体"/>
                <w:sz w:val="21"/>
                <w:szCs w:val="21"/>
                <w:lang w:val="en-US" w:eastAsia="zh-CN"/>
              </w:rPr>
              <w:t>线路老化、不按章操作电器设备</w:t>
            </w:r>
            <w:r>
              <w:rPr>
                <w:rFonts w:hint="eastAsia" w:eastAsia="宋体"/>
                <w:sz w:val="21"/>
                <w:szCs w:val="21"/>
                <w:lang w:val="en-US" w:eastAsia="zh-CN"/>
              </w:rPr>
              <w:t xml:space="preserve"> / </w:t>
            </w:r>
            <w:r>
              <w:rPr>
                <w:rFonts w:hint="default" w:eastAsia="宋体"/>
                <w:sz w:val="21"/>
                <w:szCs w:val="21"/>
                <w:lang w:val="en-US" w:eastAsia="zh-CN"/>
              </w:rPr>
              <w:t>触电</w:t>
            </w:r>
          </w:p>
          <w:p>
            <w:pPr>
              <w:spacing w:line="240" w:lineRule="auto"/>
              <w:jc w:val="left"/>
              <w:rPr>
                <w:rFonts w:hint="default" w:eastAsia="宋体"/>
                <w:sz w:val="21"/>
                <w:szCs w:val="21"/>
                <w:lang w:val="en-US" w:eastAsia="zh-CN"/>
              </w:rPr>
            </w:pPr>
            <w:r>
              <w:rPr>
                <w:rFonts w:hint="eastAsia" w:eastAsia="宋体"/>
                <w:sz w:val="21"/>
                <w:szCs w:val="21"/>
                <w:lang w:val="en-US" w:eastAsia="zh-CN"/>
              </w:rPr>
              <w:t>3、</w:t>
            </w:r>
            <w:r>
              <w:rPr>
                <w:rFonts w:hint="default" w:eastAsia="宋体"/>
                <w:sz w:val="21"/>
                <w:szCs w:val="21"/>
                <w:lang w:val="en-US" w:eastAsia="zh-CN"/>
              </w:rPr>
              <w:t>办公及外出交叉感染</w:t>
            </w:r>
            <w:r>
              <w:rPr>
                <w:rFonts w:hint="eastAsia" w:eastAsia="宋体"/>
                <w:sz w:val="21"/>
                <w:szCs w:val="21"/>
                <w:lang w:val="en-US" w:eastAsia="zh-CN"/>
              </w:rPr>
              <w:t>，</w:t>
            </w:r>
            <w:r>
              <w:rPr>
                <w:rFonts w:hint="default" w:eastAsia="宋体"/>
                <w:sz w:val="21"/>
                <w:szCs w:val="21"/>
                <w:lang w:val="en-US" w:eastAsia="zh-CN"/>
              </w:rPr>
              <w:t>防护措施不到位、防疫物资配备不足</w:t>
            </w:r>
            <w:r>
              <w:rPr>
                <w:rFonts w:hint="eastAsia" w:eastAsia="宋体"/>
                <w:sz w:val="21"/>
                <w:szCs w:val="21"/>
                <w:lang w:val="en-US" w:eastAsia="zh-CN"/>
              </w:rPr>
              <w:t xml:space="preserve"> / </w:t>
            </w:r>
            <w:r>
              <w:rPr>
                <w:rFonts w:hint="default" w:eastAsia="宋体"/>
                <w:sz w:val="21"/>
                <w:szCs w:val="21"/>
                <w:lang w:val="en-US" w:eastAsia="zh-CN"/>
              </w:rPr>
              <w:t>新冠病毒感染</w:t>
            </w:r>
          </w:p>
          <w:p>
            <w:pPr>
              <w:spacing w:line="240" w:lineRule="auto"/>
              <w:jc w:val="left"/>
              <w:rPr>
                <w:rFonts w:hint="eastAsia"/>
                <w:sz w:val="21"/>
                <w:szCs w:val="21"/>
                <w:lang w:val="en-US" w:eastAsia="zh-CN"/>
              </w:rPr>
            </w:pPr>
            <w:r>
              <w:rPr>
                <w:rFonts w:hint="eastAsia" w:eastAsia="宋体"/>
                <w:sz w:val="21"/>
                <w:szCs w:val="21"/>
                <w:lang w:val="en-US" w:eastAsia="zh-CN"/>
              </w:rPr>
              <w:t>措施：运行控制、管理方案、应急预案。</w:t>
            </w:r>
          </w:p>
          <w:p>
            <w:pPr>
              <w:spacing w:line="240" w:lineRule="auto"/>
              <w:jc w:val="left"/>
              <w:rPr>
                <w:rFonts w:hint="default"/>
                <w:sz w:val="21"/>
                <w:szCs w:val="21"/>
                <w:lang w:val="en-US" w:eastAsia="zh-CN"/>
              </w:rPr>
            </w:pPr>
            <w:r>
              <w:rPr>
                <w:rFonts w:hint="eastAsia" w:eastAsia="宋体"/>
                <w:sz w:val="21"/>
                <w:szCs w:val="21"/>
                <w:lang w:val="en-US" w:eastAsia="zh-CN"/>
              </w:rPr>
              <w:t>——基本符合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1"/>
                <w:szCs w:val="21"/>
              </w:rPr>
            </w:pPr>
            <w:r>
              <w:rPr>
                <w:rFonts w:hint="eastAsia" w:cs="Arial" w:asciiTheme="minorEastAsia" w:hAnsiTheme="minorEastAsia" w:eastAsiaTheme="minorEastAsia"/>
                <w:color w:val="auto"/>
                <w:sz w:val="21"/>
                <w:szCs w:val="21"/>
              </w:rPr>
              <w:t>合规义务</w:t>
            </w:r>
            <w:r>
              <w:rPr>
                <w:rFonts w:hint="eastAsia" w:cs="Arial" w:asciiTheme="minorEastAsia" w:hAnsiTheme="minorEastAsia" w:eastAsiaTheme="minorEastAsia"/>
                <w:color w:val="auto"/>
                <w:sz w:val="21"/>
                <w:szCs w:val="21"/>
                <w:lang w:val="en-US" w:eastAsia="zh-CN"/>
              </w:rPr>
              <w:t>及</w:t>
            </w:r>
            <w:r>
              <w:rPr>
                <w:rFonts w:hint="eastAsia" w:cs="楷体" w:asciiTheme="minorEastAsia" w:hAnsiTheme="minorEastAsia" w:eastAsiaTheme="minorEastAsia"/>
                <w:color w:val="auto"/>
                <w:sz w:val="21"/>
                <w:szCs w:val="21"/>
                <w:lang w:val="en-US" w:eastAsia="zh-CN"/>
              </w:rPr>
              <w:t>合规评价</w:t>
            </w:r>
          </w:p>
        </w:tc>
        <w:tc>
          <w:tcPr>
            <w:tcW w:w="960" w:type="dxa"/>
          </w:tcPr>
          <w:p>
            <w:pPr>
              <w:spacing w:line="240" w:lineRule="auto"/>
              <w:rPr>
                <w:rFonts w:hint="default" w:eastAsia="宋体"/>
                <w:sz w:val="21"/>
                <w:szCs w:val="21"/>
                <w:lang w:val="en-US" w:eastAsia="zh-CN"/>
              </w:rPr>
            </w:pPr>
            <w:r>
              <w:rPr>
                <w:rFonts w:hint="eastAsia"/>
                <w:sz w:val="21"/>
                <w:szCs w:val="21"/>
                <w:lang w:val="en-US" w:eastAsia="zh-CN"/>
              </w:rPr>
              <w:t>S6.1.3、9.1.2</w:t>
            </w:r>
          </w:p>
        </w:tc>
        <w:tc>
          <w:tcPr>
            <w:tcW w:w="10004" w:type="dxa"/>
          </w:tcPr>
          <w:p>
            <w:pPr>
              <w:spacing w:line="240" w:lineRule="auto"/>
              <w:jc w:val="left"/>
              <w:rPr>
                <w:rFonts w:hint="default"/>
                <w:sz w:val="21"/>
                <w:szCs w:val="21"/>
                <w:lang w:val="en-US" w:eastAsia="zh-CN"/>
              </w:rPr>
            </w:pPr>
            <w:r>
              <w:rPr>
                <w:rFonts w:hint="eastAsia"/>
                <w:sz w:val="21"/>
                <w:szCs w:val="21"/>
                <w:lang w:val="en-US" w:eastAsia="zh-CN"/>
              </w:rPr>
              <w:t>---策划：</w:t>
            </w:r>
          </w:p>
          <w:p>
            <w:pPr>
              <w:spacing w:line="240" w:lineRule="auto"/>
              <w:jc w:val="left"/>
              <w:rPr>
                <w:rFonts w:hint="eastAsia"/>
                <w:sz w:val="21"/>
                <w:szCs w:val="21"/>
                <w:lang w:val="en-US" w:eastAsia="zh-CN"/>
              </w:rPr>
            </w:pPr>
            <w:r>
              <w:rPr>
                <w:rFonts w:hint="eastAsia"/>
                <w:sz w:val="21"/>
                <w:szCs w:val="21"/>
                <w:lang w:val="en-US" w:eastAsia="zh-CN"/>
              </w:rPr>
              <w:t>查《合规义务控制程序》及《合规性评价控制程序》，内容制定了目的、范围、作业程序等。内容较完整具有可操作性。</w:t>
            </w:r>
          </w:p>
          <w:p>
            <w:pPr>
              <w:spacing w:line="240" w:lineRule="auto"/>
              <w:jc w:val="left"/>
              <w:rPr>
                <w:rFonts w:hint="eastAsia"/>
                <w:sz w:val="21"/>
                <w:szCs w:val="21"/>
                <w:lang w:val="en-US" w:eastAsia="zh-CN"/>
              </w:rPr>
            </w:pPr>
            <w:r>
              <w:rPr>
                <w:rFonts w:hint="eastAsia"/>
                <w:sz w:val="21"/>
                <w:szCs w:val="21"/>
                <w:lang w:val="en-US" w:eastAsia="zh-CN"/>
              </w:rPr>
              <w:t>---实施：</w:t>
            </w:r>
          </w:p>
          <w:p>
            <w:pPr>
              <w:spacing w:line="240" w:lineRule="auto"/>
              <w:jc w:val="left"/>
              <w:rPr>
                <w:rFonts w:hint="default"/>
                <w:sz w:val="21"/>
                <w:szCs w:val="21"/>
                <w:lang w:val="en-US" w:eastAsia="zh-CN"/>
              </w:rPr>
            </w:pPr>
            <w:r>
              <w:rPr>
                <w:rFonts w:hint="eastAsia"/>
                <w:sz w:val="21"/>
                <w:szCs w:val="21"/>
                <w:lang w:val="en-US" w:eastAsia="zh-CN"/>
              </w:rPr>
              <w:t>获取方法：主要为网上、行业</w:t>
            </w:r>
          </w:p>
          <w:p>
            <w:pPr>
              <w:spacing w:line="240" w:lineRule="auto"/>
              <w:jc w:val="left"/>
              <w:rPr>
                <w:rFonts w:hint="eastAsia"/>
                <w:sz w:val="21"/>
                <w:szCs w:val="21"/>
                <w:lang w:val="en-US" w:eastAsia="zh-CN"/>
              </w:rPr>
            </w:pPr>
            <w:r>
              <w:rPr>
                <w:rFonts w:hint="eastAsia"/>
                <w:sz w:val="21"/>
                <w:szCs w:val="21"/>
                <w:lang w:val="en-US" w:eastAsia="zh-CN"/>
              </w:rPr>
              <w:t>查“法律法规及其他要求清单”，按名称、发布单位、实施日期等收集安全类法律法规、标准规范共26项。登记：李俊忙；日期：2022-1-3。抽查：</w:t>
            </w:r>
          </w:p>
          <w:p>
            <w:pPr>
              <w:spacing w:line="240" w:lineRule="auto"/>
              <w:jc w:val="left"/>
              <w:rPr>
                <w:rFonts w:hint="eastAsia"/>
                <w:sz w:val="21"/>
                <w:szCs w:val="21"/>
                <w:lang w:val="en-US" w:eastAsia="zh-CN"/>
              </w:rPr>
            </w:pPr>
            <w:r>
              <w:rPr>
                <w:rFonts w:hint="eastAsia"/>
                <w:sz w:val="21"/>
                <w:szCs w:val="21"/>
                <w:lang w:val="en-US" w:eastAsia="zh-CN"/>
              </w:rPr>
              <w:t>中华人民共和国职业病防治法</w:t>
            </w:r>
          </w:p>
          <w:p>
            <w:pPr>
              <w:spacing w:line="240" w:lineRule="auto"/>
              <w:jc w:val="left"/>
              <w:rPr>
                <w:rFonts w:hint="eastAsia"/>
                <w:sz w:val="21"/>
                <w:szCs w:val="21"/>
                <w:lang w:val="en-US" w:eastAsia="zh-CN"/>
              </w:rPr>
            </w:pPr>
            <w:r>
              <w:rPr>
                <w:rFonts w:hint="eastAsia"/>
                <w:sz w:val="21"/>
                <w:szCs w:val="21"/>
                <w:lang w:val="en-US" w:eastAsia="zh-CN"/>
              </w:rPr>
              <w:t>中华人民共和国妇女权益保障法</w:t>
            </w:r>
          </w:p>
          <w:p>
            <w:pPr>
              <w:spacing w:line="240" w:lineRule="auto"/>
              <w:jc w:val="left"/>
              <w:rPr>
                <w:rFonts w:hint="eastAsia"/>
                <w:sz w:val="21"/>
                <w:szCs w:val="21"/>
                <w:lang w:val="en-US" w:eastAsia="zh-CN"/>
              </w:rPr>
            </w:pPr>
            <w:r>
              <w:rPr>
                <w:rFonts w:hint="eastAsia"/>
                <w:sz w:val="21"/>
                <w:szCs w:val="21"/>
                <w:lang w:val="en-US" w:eastAsia="zh-CN"/>
              </w:rPr>
              <w:t>中华人民共和国安全生产法</w:t>
            </w:r>
          </w:p>
          <w:p>
            <w:pPr>
              <w:spacing w:line="240" w:lineRule="auto"/>
              <w:jc w:val="left"/>
              <w:rPr>
                <w:rFonts w:hint="eastAsia"/>
                <w:sz w:val="21"/>
                <w:szCs w:val="21"/>
                <w:lang w:val="en-US" w:eastAsia="zh-CN"/>
              </w:rPr>
            </w:pPr>
            <w:r>
              <w:rPr>
                <w:rFonts w:hint="eastAsia"/>
                <w:sz w:val="21"/>
                <w:szCs w:val="21"/>
                <w:lang w:val="en-US" w:eastAsia="zh-CN"/>
              </w:rPr>
              <w:t>劳动保障监察条例</w:t>
            </w:r>
          </w:p>
          <w:p>
            <w:pPr>
              <w:spacing w:line="240" w:lineRule="auto"/>
              <w:jc w:val="left"/>
              <w:rPr>
                <w:rFonts w:hint="eastAsia"/>
                <w:sz w:val="21"/>
                <w:szCs w:val="21"/>
                <w:lang w:val="en-US" w:eastAsia="zh-CN"/>
              </w:rPr>
            </w:pPr>
            <w:r>
              <w:rPr>
                <w:rFonts w:hint="eastAsia"/>
                <w:sz w:val="21"/>
                <w:szCs w:val="21"/>
                <w:lang w:val="en-US" w:eastAsia="zh-CN"/>
              </w:rPr>
              <w:t>河北省消防条例</w:t>
            </w:r>
          </w:p>
          <w:p>
            <w:pPr>
              <w:spacing w:line="240" w:lineRule="auto"/>
              <w:jc w:val="left"/>
              <w:rPr>
                <w:rFonts w:hint="default"/>
                <w:sz w:val="21"/>
                <w:szCs w:val="21"/>
                <w:lang w:val="en-US" w:eastAsia="zh-CN"/>
              </w:rPr>
            </w:pPr>
            <w:r>
              <w:rPr>
                <w:rFonts w:hint="eastAsia"/>
                <w:sz w:val="21"/>
                <w:szCs w:val="21"/>
                <w:lang w:val="en-US" w:eastAsia="zh-CN"/>
              </w:rPr>
              <w:t>......等等。</w:t>
            </w:r>
          </w:p>
          <w:p>
            <w:pPr>
              <w:spacing w:line="240" w:lineRule="auto"/>
              <w:rPr>
                <w:sz w:val="21"/>
                <w:szCs w:val="21"/>
              </w:rPr>
            </w:pPr>
          </w:p>
          <w:p>
            <w:pPr>
              <w:pStyle w:val="2"/>
              <w:numPr>
                <w:ilvl w:val="0"/>
                <w:numId w:val="0"/>
              </w:numPr>
              <w:spacing w:line="240" w:lineRule="auto"/>
              <w:rPr>
                <w:rFonts w:hint="eastAsia"/>
                <w:sz w:val="21"/>
                <w:szCs w:val="21"/>
              </w:rPr>
            </w:pPr>
            <w:r>
              <w:rPr>
                <w:rFonts w:hint="eastAsia"/>
                <w:sz w:val="21"/>
                <w:szCs w:val="21"/>
                <w:lang w:val="en-US" w:eastAsia="zh-CN"/>
              </w:rPr>
              <w:t>——</w:t>
            </w:r>
            <w:r>
              <w:rPr>
                <w:rFonts w:hint="eastAsia"/>
                <w:sz w:val="21"/>
                <w:szCs w:val="21"/>
              </w:rPr>
              <w:t>合规性评价</w:t>
            </w:r>
          </w:p>
          <w:p>
            <w:pPr>
              <w:pStyle w:val="2"/>
              <w:numPr>
                <w:ilvl w:val="0"/>
                <w:numId w:val="0"/>
              </w:numPr>
              <w:spacing w:line="240" w:lineRule="auto"/>
              <w:rPr>
                <w:rFonts w:hint="default"/>
                <w:sz w:val="21"/>
                <w:szCs w:val="21"/>
                <w:lang w:val="en-US" w:eastAsia="zh-CN"/>
              </w:rPr>
            </w:pPr>
            <w:r>
              <w:rPr>
                <w:rFonts w:hint="eastAsia"/>
                <w:sz w:val="21"/>
                <w:szCs w:val="21"/>
                <w:lang w:val="en-US" w:eastAsia="zh-CN"/>
              </w:rPr>
              <w:t>查“安全法律法规合规性评价记录表”，评价人：常建立、李俊忙；日期：2022-3-20；对适用的合规义务进行了实施结果评价，结论均为合规。</w:t>
            </w:r>
          </w:p>
          <w:p>
            <w:pPr>
              <w:spacing w:line="240" w:lineRule="auto"/>
              <w:rPr>
                <w:rFonts w:hint="eastAsia" w:ascii="Times New Roman" w:hAnsi="Times New Roman" w:eastAsia="宋体" w:cs="Times New Roman"/>
                <w:sz w:val="21"/>
                <w:szCs w:val="21"/>
                <w:lang w:val="en-US" w:eastAsia="zh-CN"/>
              </w:rPr>
            </w:pPr>
            <w:r>
              <w:rPr>
                <w:rFonts w:hint="eastAsia"/>
                <w:sz w:val="21"/>
                <w:szCs w:val="21"/>
                <w:lang w:val="en-US" w:eastAsia="zh-CN"/>
              </w:rPr>
              <w:t>查“法律法规合规性评价报告”，评价时间：2022年3月20日，评价结论：公司各部门能够有效遵循法律法</w:t>
            </w:r>
            <w:r>
              <w:rPr>
                <w:rFonts w:hint="eastAsia" w:ascii="Times New Roman" w:hAnsi="Times New Roman" w:eastAsia="宋体" w:cs="Times New Roman"/>
                <w:sz w:val="21"/>
                <w:szCs w:val="21"/>
                <w:lang w:val="en-US" w:eastAsia="zh-CN"/>
              </w:rPr>
              <w:t>规进行生产，未发生过环境、职业健康安全事件，未有其他单位和个人投诉，无环境、职业健康安全事件发生。</w:t>
            </w:r>
          </w:p>
          <w:p>
            <w:pPr>
              <w:spacing w:line="240" w:lineRule="auto"/>
              <w:rPr>
                <w:rFonts w:hint="default"/>
                <w:sz w:val="21"/>
                <w:szCs w:val="21"/>
                <w:lang w:val="en-US"/>
              </w:rPr>
            </w:pPr>
            <w:r>
              <w:rPr>
                <w:rFonts w:hint="eastAsia" w:ascii="Times New Roman" w:hAnsi="Times New Roman" w:eastAsia="宋体" w:cs="Times New Roman"/>
                <w:sz w:val="21"/>
                <w:szCs w:val="21"/>
                <w:lang w:val="en-US" w:eastAsia="zh-CN"/>
              </w:rPr>
              <w:t>——基本符合。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eastAsia="宋体"/>
                <w:sz w:val="21"/>
                <w:szCs w:val="21"/>
                <w:lang w:val="en-US" w:eastAsia="zh-CN"/>
              </w:rPr>
            </w:pPr>
            <w:r>
              <w:rPr>
                <w:rFonts w:hint="eastAsia"/>
                <w:sz w:val="21"/>
                <w:szCs w:val="21"/>
                <w:lang w:val="en-US" w:eastAsia="zh-CN"/>
              </w:rPr>
              <w:t>能力、意识</w:t>
            </w:r>
          </w:p>
        </w:tc>
        <w:tc>
          <w:tcPr>
            <w:tcW w:w="960" w:type="dxa"/>
          </w:tcPr>
          <w:p>
            <w:pPr>
              <w:spacing w:line="240" w:lineRule="auto"/>
              <w:rPr>
                <w:rFonts w:hint="default"/>
                <w:sz w:val="21"/>
                <w:szCs w:val="21"/>
                <w:lang w:val="en-US" w:eastAsia="zh-CN"/>
              </w:rPr>
            </w:pPr>
            <w:r>
              <w:rPr>
                <w:rFonts w:hint="eastAsia"/>
                <w:sz w:val="21"/>
                <w:szCs w:val="21"/>
                <w:lang w:val="en-US" w:eastAsia="zh-CN"/>
              </w:rPr>
              <w:t>S7.2、7.3</w:t>
            </w:r>
          </w:p>
        </w:tc>
        <w:tc>
          <w:tcPr>
            <w:tcW w:w="10004" w:type="dxa"/>
          </w:tcPr>
          <w:p>
            <w:pPr>
              <w:spacing w:line="240" w:lineRule="auto"/>
              <w:rPr>
                <w:rFonts w:hint="eastAsia"/>
                <w:sz w:val="21"/>
                <w:szCs w:val="21"/>
                <w:lang w:eastAsia="zh-CN"/>
              </w:rPr>
            </w:pPr>
            <w:r>
              <w:rPr>
                <w:rFonts w:hint="eastAsia"/>
                <w:sz w:val="21"/>
                <w:szCs w:val="21"/>
                <w:lang w:val="en-US" w:eastAsia="zh-CN"/>
              </w:rPr>
              <w:t>---策划有《</w:t>
            </w:r>
            <w:r>
              <w:rPr>
                <w:rFonts w:hint="eastAsia"/>
                <w:sz w:val="21"/>
                <w:szCs w:val="21"/>
              </w:rPr>
              <w:t>人力资源管理控制程序</w:t>
            </w:r>
            <w:r>
              <w:rPr>
                <w:rFonts w:hint="eastAsia"/>
                <w:sz w:val="21"/>
                <w:szCs w:val="21"/>
                <w:lang w:eastAsia="zh-CN"/>
              </w:rPr>
              <w:t>》。</w:t>
            </w:r>
          </w:p>
          <w:p>
            <w:pPr>
              <w:spacing w:line="240" w:lineRule="auto"/>
              <w:rPr>
                <w:rFonts w:hint="default"/>
                <w:sz w:val="21"/>
                <w:szCs w:val="21"/>
                <w:lang w:val="en-US" w:eastAsia="zh-CN"/>
              </w:rPr>
            </w:pPr>
            <w:r>
              <w:rPr>
                <w:rFonts w:hint="eastAsia"/>
                <w:sz w:val="21"/>
                <w:szCs w:val="21"/>
                <w:lang w:val="en-US" w:eastAsia="zh-CN"/>
              </w:rPr>
              <w:t>---负责人表述，</w:t>
            </w:r>
            <w:r>
              <w:rPr>
                <w:rFonts w:hint="eastAsia"/>
                <w:sz w:val="21"/>
                <w:szCs w:val="21"/>
              </w:rPr>
              <w:t>公司对各岗位能力规定的要求包括了专业技能、岗位资格、能力、工作经验等。</w:t>
            </w:r>
            <w:r>
              <w:rPr>
                <w:rFonts w:hint="eastAsia"/>
                <w:sz w:val="21"/>
                <w:szCs w:val="21"/>
                <w:lang w:val="en-US" w:eastAsia="zh-CN"/>
              </w:rPr>
              <w:t>制订有“</w:t>
            </w:r>
            <w:r>
              <w:rPr>
                <w:rFonts w:hint="eastAsia"/>
                <w:sz w:val="21"/>
                <w:szCs w:val="21"/>
              </w:rPr>
              <w:t>岗位人员任职要求</w:t>
            </w:r>
            <w:r>
              <w:rPr>
                <w:rFonts w:hint="eastAsia"/>
                <w:sz w:val="21"/>
                <w:szCs w:val="21"/>
                <w:lang w:eastAsia="zh-CN"/>
              </w:rPr>
              <w:t>”、“销售服务规范”、“销售服务质量考核办法”</w:t>
            </w:r>
            <w:r>
              <w:rPr>
                <w:rFonts w:hint="eastAsia"/>
                <w:sz w:val="21"/>
                <w:szCs w:val="21"/>
                <w:lang w:val="en-US" w:eastAsia="zh-CN"/>
              </w:rPr>
              <w:t>等作业文件。</w:t>
            </w:r>
          </w:p>
          <w:p>
            <w:pPr>
              <w:spacing w:line="240" w:lineRule="auto"/>
              <w:rPr>
                <w:rFonts w:hint="eastAsia"/>
                <w:sz w:val="21"/>
                <w:szCs w:val="21"/>
                <w:lang w:val="en-US" w:eastAsia="zh-CN"/>
              </w:rPr>
            </w:pPr>
            <w:r>
              <w:rPr>
                <w:rFonts w:hint="eastAsia"/>
                <w:sz w:val="21"/>
                <w:szCs w:val="21"/>
                <w:lang w:val="en-US" w:eastAsia="zh-CN"/>
              </w:rPr>
              <w:t>---查</w:t>
            </w:r>
            <w:r>
              <w:rPr>
                <w:rFonts w:hint="eastAsia"/>
                <w:sz w:val="21"/>
                <w:szCs w:val="21"/>
              </w:rPr>
              <w:t>《工作人员岗位任职评价表</w:t>
            </w:r>
            <w:r>
              <w:rPr>
                <w:rFonts w:hint="eastAsia"/>
                <w:sz w:val="21"/>
                <w:szCs w:val="21"/>
                <w:lang w:val="en-US" w:eastAsia="zh-CN"/>
              </w:rPr>
              <w:t xml:space="preserve"> </w:t>
            </w:r>
            <w:r>
              <w:rPr>
                <w:rFonts w:hint="eastAsia"/>
                <w:sz w:val="21"/>
                <w:szCs w:val="21"/>
              </w:rPr>
              <w:t>》</w:t>
            </w:r>
            <w:r>
              <w:rPr>
                <w:rFonts w:hint="eastAsia"/>
                <w:sz w:val="21"/>
                <w:szCs w:val="21"/>
                <w:lang w:val="en-US" w:eastAsia="zh-CN"/>
              </w:rPr>
              <w:t>及部门管理人员任命书。</w:t>
            </w:r>
            <w:r>
              <w:rPr>
                <w:rFonts w:hint="eastAsia"/>
                <w:sz w:val="21"/>
                <w:szCs w:val="21"/>
              </w:rPr>
              <w:t>主要对公司各部门负责人及员工能力要求分别从学历</w:t>
            </w:r>
            <w:r>
              <w:rPr>
                <w:rFonts w:hint="eastAsia"/>
                <w:sz w:val="21"/>
                <w:szCs w:val="21"/>
                <w:lang w:eastAsia="zh-CN"/>
              </w:rPr>
              <w:t>、</w:t>
            </w:r>
            <w:r>
              <w:rPr>
                <w:rFonts w:hint="eastAsia"/>
                <w:sz w:val="21"/>
                <w:szCs w:val="21"/>
              </w:rPr>
              <w:t>所在部门</w:t>
            </w:r>
            <w:r>
              <w:rPr>
                <w:rFonts w:hint="eastAsia"/>
                <w:sz w:val="21"/>
                <w:szCs w:val="21"/>
                <w:lang w:eastAsia="zh-CN"/>
              </w:rPr>
              <w:t>、</w:t>
            </w:r>
            <w:r>
              <w:rPr>
                <w:rFonts w:hint="eastAsia"/>
                <w:sz w:val="21"/>
                <w:szCs w:val="21"/>
              </w:rPr>
              <w:t>担任职务</w:t>
            </w:r>
            <w:r>
              <w:rPr>
                <w:rFonts w:hint="eastAsia"/>
                <w:sz w:val="21"/>
                <w:szCs w:val="21"/>
                <w:lang w:eastAsia="zh-CN"/>
              </w:rPr>
              <w:t>、</w:t>
            </w:r>
            <w:r>
              <w:rPr>
                <w:rFonts w:hint="eastAsia"/>
                <w:sz w:val="21"/>
                <w:szCs w:val="21"/>
              </w:rPr>
              <w:t>学习培训</w:t>
            </w:r>
            <w:r>
              <w:rPr>
                <w:rFonts w:hint="eastAsia"/>
                <w:sz w:val="21"/>
                <w:szCs w:val="21"/>
                <w:lang w:eastAsia="zh-CN"/>
              </w:rPr>
              <w:t>、</w:t>
            </w:r>
            <w:r>
              <w:rPr>
                <w:rFonts w:hint="eastAsia"/>
                <w:sz w:val="21"/>
                <w:szCs w:val="21"/>
              </w:rPr>
              <w:t>管理工作</w:t>
            </w:r>
            <w:r>
              <w:rPr>
                <w:rFonts w:hint="eastAsia"/>
                <w:sz w:val="21"/>
                <w:szCs w:val="21"/>
                <w:lang w:eastAsia="zh-CN"/>
              </w:rPr>
              <w:t>、</w:t>
            </w:r>
            <w:r>
              <w:rPr>
                <w:rFonts w:hint="eastAsia"/>
                <w:sz w:val="21"/>
                <w:szCs w:val="21"/>
              </w:rPr>
              <w:t>专业技能</w:t>
            </w:r>
            <w:r>
              <w:rPr>
                <w:rFonts w:hint="eastAsia"/>
                <w:sz w:val="21"/>
                <w:szCs w:val="21"/>
                <w:lang w:eastAsia="zh-CN"/>
              </w:rPr>
              <w:t>、</w:t>
            </w:r>
            <w:r>
              <w:rPr>
                <w:rFonts w:hint="eastAsia"/>
                <w:sz w:val="21"/>
                <w:szCs w:val="21"/>
              </w:rPr>
              <w:t>环保安全意识</w:t>
            </w:r>
            <w:r>
              <w:rPr>
                <w:rFonts w:hint="eastAsia"/>
                <w:sz w:val="21"/>
                <w:szCs w:val="21"/>
                <w:lang w:eastAsia="zh-CN"/>
              </w:rPr>
              <w:t>、</w:t>
            </w:r>
            <w:r>
              <w:rPr>
                <w:rFonts w:hint="eastAsia"/>
                <w:sz w:val="21"/>
                <w:szCs w:val="21"/>
              </w:rPr>
              <w:t>岗位经验</w:t>
            </w:r>
            <w:r>
              <w:rPr>
                <w:rFonts w:hint="eastAsia"/>
                <w:sz w:val="21"/>
                <w:szCs w:val="21"/>
                <w:lang w:val="en-US" w:eastAsia="zh-CN"/>
              </w:rPr>
              <w:t>等</w:t>
            </w:r>
            <w:r>
              <w:rPr>
                <w:rFonts w:hint="eastAsia"/>
                <w:sz w:val="21"/>
                <w:szCs w:val="21"/>
              </w:rPr>
              <w:t>定期进行评价，</w:t>
            </w:r>
            <w:r>
              <w:rPr>
                <w:rFonts w:hint="eastAsia"/>
                <w:sz w:val="21"/>
                <w:szCs w:val="21"/>
                <w:lang w:val="en-US" w:eastAsia="zh-CN"/>
              </w:rPr>
              <w:t>抽2022.01.03对常建立、李俊忙、何坤燕考核合格。</w:t>
            </w:r>
          </w:p>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---查“2022年度培训计划”，共登录 学习三个标准培训；管理手册、程序文件培训；应急预案培训；内审员培训；公司质量、环境、安全管理制度培训等共9项；  编制</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李俊忙  2022年01月05日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批准</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常建立 2022年01月05日       </w:t>
            </w:r>
          </w:p>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跟踪核查相应的《培训记录表》：</w:t>
            </w:r>
          </w:p>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1、2022.1.18.；标准知识培训；参训人：常建立、李俊忙、何坤燕。</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w:t>
            </w:r>
          </w:p>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2、2022.2.13.；管理手册、程序文件培训；参训人：常建立、李俊忙、何坤燕。</w:t>
            </w:r>
          </w:p>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3、2022.4.2.内审员培训；；参训人：常建立、李俊忙、何坤燕。</w:t>
            </w:r>
          </w:p>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——以上培训均有效果评价。</w:t>
            </w:r>
          </w:p>
          <w:p>
            <w:pPr>
              <w:pStyle w:val="2"/>
              <w:spacing w:line="240" w:lineRule="auto"/>
              <w:rPr>
                <w:rFonts w:hint="eastAsia" w:ascii="Times New Roman" w:hAnsi="Times New Roman" w:eastAsia="宋体" w:cs="Times New Roman"/>
                <w:sz w:val="21"/>
                <w:szCs w:val="21"/>
                <w:lang w:val="en-US" w:eastAsia="zh-CN"/>
              </w:rPr>
            </w:pPr>
            <w:r>
              <w:rPr>
                <w:rFonts w:hint="eastAsia"/>
                <w:sz w:val="21"/>
                <w:szCs w:val="21"/>
                <w:lang w:val="en-US" w:eastAsia="zh-CN"/>
              </w:rPr>
              <w:t>---</w:t>
            </w:r>
            <w:r>
              <w:rPr>
                <w:rFonts w:hint="eastAsia" w:ascii="Times New Roman" w:hAnsi="Times New Roman" w:eastAsia="宋体" w:cs="Times New Roman"/>
                <w:sz w:val="21"/>
                <w:szCs w:val="21"/>
                <w:lang w:val="en-US" w:eastAsia="zh-CN"/>
              </w:rPr>
              <w:t>远程视频询问</w:t>
            </w:r>
            <w:r>
              <w:rPr>
                <w:rFonts w:hint="eastAsia"/>
                <w:sz w:val="21"/>
                <w:szCs w:val="21"/>
                <w:lang w:val="en-US" w:eastAsia="zh-CN"/>
              </w:rPr>
              <w:t>晓骨、李俊忙</w:t>
            </w:r>
            <w:r>
              <w:rPr>
                <w:rFonts w:hint="eastAsia" w:ascii="Times New Roman" w:hAnsi="Times New Roman" w:eastAsia="宋体" w:cs="Times New Roman"/>
                <w:sz w:val="21"/>
                <w:szCs w:val="21"/>
                <w:lang w:val="en-US" w:eastAsia="zh-CN"/>
              </w:rPr>
              <w:t>公司及部门的S方针及目标，其回答基本正确。</w:t>
            </w:r>
          </w:p>
          <w:p>
            <w:pPr>
              <w:pStyle w:val="2"/>
              <w:spacing w:line="240" w:lineRule="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——能力、意识基本符合。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eastAsia="宋体"/>
                <w:sz w:val="21"/>
                <w:szCs w:val="21"/>
                <w:lang w:val="en-US" w:eastAsia="zh-CN"/>
              </w:rPr>
            </w:pPr>
            <w:r>
              <w:rPr>
                <w:rFonts w:hint="eastAsia"/>
                <w:sz w:val="21"/>
                <w:szCs w:val="21"/>
                <w:lang w:val="en-US" w:eastAsia="zh-CN"/>
              </w:rPr>
              <w:t>沟通</w:t>
            </w:r>
          </w:p>
        </w:tc>
        <w:tc>
          <w:tcPr>
            <w:tcW w:w="960" w:type="dxa"/>
          </w:tcPr>
          <w:p>
            <w:pPr>
              <w:spacing w:line="240" w:lineRule="auto"/>
              <w:rPr>
                <w:rFonts w:hint="default"/>
                <w:sz w:val="21"/>
                <w:szCs w:val="21"/>
                <w:lang w:val="en-US" w:eastAsia="zh-CN"/>
              </w:rPr>
            </w:pPr>
            <w:r>
              <w:rPr>
                <w:rFonts w:hint="eastAsia"/>
                <w:sz w:val="21"/>
                <w:szCs w:val="21"/>
                <w:lang w:val="en-US" w:eastAsia="zh-CN"/>
              </w:rPr>
              <w:t>S7.4</w:t>
            </w:r>
          </w:p>
        </w:tc>
        <w:tc>
          <w:tcPr>
            <w:tcW w:w="10004" w:type="dxa"/>
          </w:tcPr>
          <w:p>
            <w:pPr>
              <w:spacing w:line="240" w:lineRule="auto"/>
              <w:rPr>
                <w:rFonts w:hint="eastAsia"/>
                <w:sz w:val="21"/>
                <w:szCs w:val="21"/>
                <w:lang w:eastAsia="zh-CN"/>
              </w:rPr>
            </w:pPr>
            <w:r>
              <w:rPr>
                <w:rFonts w:hint="eastAsia"/>
                <w:sz w:val="21"/>
                <w:szCs w:val="21"/>
                <w:lang w:val="en-US" w:eastAsia="zh-CN"/>
              </w:rPr>
              <w:t>---策划有《</w:t>
            </w:r>
            <w:r>
              <w:rPr>
                <w:rFonts w:hint="eastAsia"/>
                <w:sz w:val="21"/>
                <w:szCs w:val="21"/>
              </w:rPr>
              <w:t>信息交流与协商控制程序</w:t>
            </w:r>
            <w:r>
              <w:rPr>
                <w:rFonts w:hint="eastAsia"/>
                <w:sz w:val="21"/>
                <w:szCs w:val="21"/>
                <w:lang w:eastAsia="zh-CN"/>
              </w:rPr>
              <w:t>》。</w:t>
            </w:r>
          </w:p>
          <w:p>
            <w:pPr>
              <w:pStyle w:val="14"/>
              <w:spacing w:line="240" w:lineRule="auto"/>
              <w:rPr>
                <w:rFonts w:hint="eastAsia" w:eastAsia="宋体" w:cs="Times New Roman"/>
                <w:sz w:val="21"/>
                <w:szCs w:val="21"/>
              </w:rPr>
            </w:pPr>
            <w:r>
              <w:rPr>
                <w:rFonts w:hint="eastAsia" w:cs="Times New Roman"/>
                <w:sz w:val="21"/>
                <w:szCs w:val="21"/>
                <w:lang w:val="en-US" w:eastAsia="zh-CN"/>
              </w:rPr>
              <w:t>---</w:t>
            </w:r>
            <w:r>
              <w:rPr>
                <w:rFonts w:hint="eastAsia" w:eastAsia="宋体" w:cs="Times New Roman"/>
                <w:sz w:val="21"/>
                <w:szCs w:val="21"/>
              </w:rPr>
              <w:t>公司内部通过发放文件、会议、培训等进行沟通，沟通内容包括公司方针、目标、环境因素、危险源、内审、管评等</w:t>
            </w:r>
          </w:p>
          <w:p>
            <w:pPr>
              <w:pStyle w:val="14"/>
              <w:spacing w:line="240" w:lineRule="auto"/>
              <w:rPr>
                <w:rFonts w:hint="eastAsia" w:eastAsia="宋体" w:cs="Times New Roman"/>
                <w:sz w:val="21"/>
                <w:szCs w:val="21"/>
                <w:lang w:eastAsia="zh-CN"/>
              </w:rPr>
            </w:pPr>
            <w:r>
              <w:rPr>
                <w:rFonts w:hint="eastAsia" w:cs="Times New Roman"/>
                <w:sz w:val="21"/>
                <w:szCs w:val="21"/>
                <w:lang w:val="en-US" w:eastAsia="zh-CN"/>
              </w:rPr>
              <w:t>---</w:t>
            </w:r>
            <w:r>
              <w:rPr>
                <w:rFonts w:hint="eastAsia" w:eastAsia="宋体" w:cs="Times New Roman"/>
                <w:sz w:val="21"/>
                <w:szCs w:val="21"/>
              </w:rPr>
              <w:t>采用电话和回访的方式对顾客满意度进行调查</w:t>
            </w:r>
            <w:r>
              <w:rPr>
                <w:rFonts w:hint="eastAsia" w:eastAsia="宋体" w:cs="Times New Roman"/>
                <w:sz w:val="21"/>
                <w:szCs w:val="21"/>
                <w:lang w:eastAsia="zh-CN"/>
              </w:rPr>
              <w:t>。</w:t>
            </w:r>
          </w:p>
          <w:p>
            <w:pPr>
              <w:pStyle w:val="14"/>
              <w:spacing w:line="240" w:lineRule="auto"/>
              <w:rPr>
                <w:rFonts w:hint="eastAsia" w:eastAsia="宋体" w:cs="Times New Roman"/>
                <w:sz w:val="21"/>
                <w:szCs w:val="21"/>
              </w:rPr>
            </w:pPr>
            <w:r>
              <w:rPr>
                <w:rFonts w:hint="eastAsia" w:cs="Times New Roman"/>
                <w:sz w:val="21"/>
                <w:szCs w:val="21"/>
                <w:lang w:val="en-US" w:eastAsia="zh-CN"/>
              </w:rPr>
              <w:t>---</w:t>
            </w:r>
            <w:r>
              <w:rPr>
                <w:rFonts w:hint="eastAsia" w:eastAsia="宋体" w:cs="Times New Roman"/>
                <w:sz w:val="21"/>
                <w:szCs w:val="21"/>
              </w:rPr>
              <w:t>通过口头、电话、网络等与供方进行沟通，索要其相关资质等。</w:t>
            </w:r>
          </w:p>
          <w:p>
            <w:pPr>
              <w:pStyle w:val="14"/>
              <w:spacing w:line="240" w:lineRule="auto"/>
              <w:rPr>
                <w:rFonts w:hint="eastAsia" w:eastAsia="宋体" w:cs="Times New Roman"/>
                <w:sz w:val="21"/>
                <w:szCs w:val="21"/>
              </w:rPr>
            </w:pPr>
          </w:p>
          <w:p>
            <w:pPr>
              <w:pStyle w:val="2"/>
              <w:spacing w:line="240" w:lineRule="auto"/>
              <w:rPr>
                <w:rFonts w:hint="eastAsia"/>
                <w:sz w:val="21"/>
                <w:szCs w:val="21"/>
                <w:lang w:val="en-US" w:eastAsia="zh-CN"/>
              </w:rPr>
            </w:pPr>
            <w:r>
              <w:rPr>
                <w:rFonts w:hint="eastAsia" w:cs="Times New Roman"/>
                <w:sz w:val="21"/>
                <w:szCs w:val="21"/>
                <w:lang w:eastAsia="zh-CN"/>
              </w:rPr>
              <w:t>——</w:t>
            </w:r>
            <w:r>
              <w:rPr>
                <w:rFonts w:hint="eastAsia" w:eastAsia="宋体" w:cs="Times New Roman"/>
                <w:sz w:val="21"/>
                <w:szCs w:val="21"/>
              </w:rPr>
              <w:t>基本符合</w:t>
            </w:r>
            <w:r>
              <w:rPr>
                <w:rFonts w:hint="eastAsia" w:ascii="宋体" w:hAnsi="宋体" w:cs="宋体"/>
                <w:color w:val="000000"/>
                <w:sz w:val="21"/>
                <w:szCs w:val="21"/>
              </w:rPr>
              <w:t xml:space="preserve"> </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eastAsia="宋体"/>
                <w:sz w:val="21"/>
                <w:szCs w:val="21"/>
                <w:lang w:val="en-US" w:eastAsia="zh-CN"/>
              </w:rPr>
            </w:pPr>
            <w:r>
              <w:rPr>
                <w:rFonts w:hint="eastAsia"/>
                <w:sz w:val="21"/>
                <w:szCs w:val="21"/>
                <w:lang w:val="en-US" w:eastAsia="zh-CN"/>
              </w:rPr>
              <w:t>文件化体系的建立</w:t>
            </w:r>
          </w:p>
        </w:tc>
        <w:tc>
          <w:tcPr>
            <w:tcW w:w="960" w:type="dxa"/>
          </w:tcPr>
          <w:p>
            <w:pPr>
              <w:spacing w:line="240" w:lineRule="auto"/>
              <w:rPr>
                <w:rFonts w:hint="default"/>
                <w:sz w:val="21"/>
                <w:szCs w:val="21"/>
                <w:lang w:val="en-US" w:eastAsia="zh-CN"/>
              </w:rPr>
            </w:pPr>
            <w:r>
              <w:rPr>
                <w:rFonts w:hint="eastAsia"/>
                <w:sz w:val="21"/>
                <w:szCs w:val="21"/>
                <w:lang w:val="en-US" w:eastAsia="zh-CN"/>
              </w:rPr>
              <w:t>S7.5</w:t>
            </w:r>
          </w:p>
        </w:tc>
        <w:tc>
          <w:tcPr>
            <w:tcW w:w="10004" w:type="dxa"/>
          </w:tcPr>
          <w:p>
            <w:pPr>
              <w:spacing w:line="240" w:lineRule="auto"/>
              <w:rPr>
                <w:rFonts w:hint="eastAsia"/>
                <w:sz w:val="21"/>
                <w:szCs w:val="21"/>
                <w:lang w:eastAsia="zh-CN"/>
              </w:rPr>
            </w:pPr>
            <w:r>
              <w:rPr>
                <w:rFonts w:hint="eastAsia"/>
                <w:sz w:val="21"/>
                <w:szCs w:val="21"/>
                <w:lang w:val="en-US" w:eastAsia="zh-CN"/>
              </w:rPr>
              <w:t>---策划有《</w:t>
            </w:r>
            <w:r>
              <w:rPr>
                <w:rFonts w:hint="eastAsia"/>
                <w:sz w:val="21"/>
                <w:szCs w:val="21"/>
              </w:rPr>
              <w:t>文件控制程序</w:t>
            </w:r>
            <w:r>
              <w:rPr>
                <w:rFonts w:hint="eastAsia"/>
                <w:sz w:val="21"/>
                <w:szCs w:val="21"/>
                <w:lang w:eastAsia="zh-CN"/>
              </w:rPr>
              <w:t>》、《</w:t>
            </w:r>
            <w:r>
              <w:rPr>
                <w:rFonts w:hint="eastAsia"/>
                <w:sz w:val="21"/>
                <w:szCs w:val="21"/>
              </w:rPr>
              <w:t>记录控制程序</w:t>
            </w:r>
            <w:r>
              <w:rPr>
                <w:rFonts w:hint="eastAsia"/>
                <w:sz w:val="21"/>
                <w:szCs w:val="21"/>
                <w:lang w:eastAsia="zh-CN"/>
              </w:rPr>
              <w:t>》。对管理体系记录的标识、贮存、保护、检索、保存期限和处置等作了明确规定，符合要求。</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公司</w:t>
            </w:r>
            <w:r>
              <w:rPr>
                <w:rFonts w:hint="eastAsia" w:asciiTheme="minorEastAsia" w:hAnsiTheme="minorEastAsia" w:eastAsiaTheme="minorEastAsia"/>
                <w:sz w:val="21"/>
                <w:szCs w:val="21"/>
                <w:lang w:val="en-US" w:eastAsia="zh-CN"/>
              </w:rPr>
              <w:t>制定了</w:t>
            </w:r>
            <w:r>
              <w:rPr>
                <w:rFonts w:hint="eastAsia" w:asciiTheme="minorEastAsia" w:hAnsiTheme="minorEastAsia" w:eastAsiaTheme="minorEastAsia"/>
                <w:sz w:val="21"/>
                <w:szCs w:val="21"/>
              </w:rPr>
              <w:t>管理手册、程序文件、</w:t>
            </w:r>
            <w:r>
              <w:rPr>
                <w:rFonts w:hint="eastAsia" w:asciiTheme="minorEastAsia" w:hAnsiTheme="minorEastAsia" w:eastAsiaTheme="minorEastAsia"/>
                <w:sz w:val="21"/>
                <w:szCs w:val="21"/>
                <w:lang w:val="en-US" w:eastAsia="zh-CN"/>
              </w:rPr>
              <w:t>管理制度</w:t>
            </w:r>
            <w:r>
              <w:rPr>
                <w:rFonts w:hint="eastAsia" w:asciiTheme="minorEastAsia" w:hAnsiTheme="minorEastAsia" w:eastAsiaTheme="minorEastAsia"/>
                <w:sz w:val="21"/>
                <w:szCs w:val="21"/>
              </w:rPr>
              <w:t>及记录。公司编制的程序文件基本符合标准要求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所有程序文件，</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记录表单满足公司目前的质量体系运行的需要。</w:t>
            </w:r>
          </w:p>
          <w:p>
            <w:pPr>
              <w:pStyle w:val="2"/>
              <w:spacing w:line="240" w:lineRule="auto"/>
              <w:rPr>
                <w:rFonts w:hint="eastAsia" w:eastAsia="宋体" w:cs="Times New Roman"/>
                <w:sz w:val="21"/>
                <w:szCs w:val="21"/>
              </w:rPr>
            </w:pPr>
            <w:r>
              <w:rPr>
                <w:rFonts w:hint="eastAsia" w:eastAsia="宋体" w:cs="Times New Roman"/>
                <w:sz w:val="21"/>
                <w:szCs w:val="21"/>
                <w:lang w:val="en-US" w:eastAsia="zh-CN"/>
              </w:rPr>
              <w:t>---</w:t>
            </w:r>
            <w:r>
              <w:rPr>
                <w:rFonts w:hint="eastAsia" w:eastAsia="宋体" w:cs="Times New Roman"/>
                <w:sz w:val="21"/>
                <w:szCs w:val="21"/>
              </w:rPr>
              <w:t>查“受控文件清单”，登记有管理手册、程序文件、管理制度</w:t>
            </w:r>
            <w:r>
              <w:rPr>
                <w:rFonts w:hint="eastAsia" w:ascii="宋体" w:hAnsi="宋体" w:eastAsia="宋体" w:cs="宋体"/>
                <w:sz w:val="21"/>
                <w:szCs w:val="21"/>
              </w:rPr>
              <w:t>汇编</w:t>
            </w:r>
            <w:r>
              <w:rPr>
                <w:rFonts w:hint="eastAsia" w:ascii="宋体" w:hAnsi="宋体" w:eastAsia="宋体" w:cs="宋体"/>
                <w:sz w:val="21"/>
                <w:szCs w:val="21"/>
                <w:lang w:eastAsia="zh-CN"/>
              </w:rPr>
              <w:t>、</w:t>
            </w:r>
            <w:r>
              <w:rPr>
                <w:rFonts w:hint="eastAsia" w:ascii="宋体" w:hAnsi="宋体" w:eastAsia="宋体" w:cs="宋体"/>
                <w:sz w:val="21"/>
                <w:szCs w:val="21"/>
              </w:rPr>
              <w:t>应急预案汇编</w:t>
            </w:r>
            <w:r>
              <w:rPr>
                <w:rFonts w:hint="eastAsia" w:eastAsia="宋体" w:cs="Times New Roman"/>
                <w:sz w:val="21"/>
                <w:szCs w:val="21"/>
              </w:rPr>
              <w:t>的文件编号、版次等。</w:t>
            </w:r>
          </w:p>
          <w:p>
            <w:pPr>
              <w:pStyle w:val="14"/>
              <w:spacing w:line="240" w:lineRule="auto"/>
              <w:ind w:firstLine="420" w:firstLineChars="200"/>
              <w:rPr>
                <w:rFonts w:hint="eastAsia" w:eastAsia="宋体" w:cs="Times New Roman"/>
                <w:sz w:val="21"/>
                <w:szCs w:val="21"/>
              </w:rPr>
            </w:pPr>
            <w:r>
              <w:rPr>
                <w:rFonts w:hint="eastAsia"/>
                <w:sz w:val="21"/>
                <w:szCs w:val="21"/>
              </w:rPr>
              <w:t>跟踪核查“ 文件发放登记表” ，其中明确有文件名、版本、领用部门</w:t>
            </w:r>
            <w:r>
              <w:rPr>
                <w:rFonts w:hint="eastAsia"/>
                <w:sz w:val="21"/>
                <w:szCs w:val="21"/>
                <w:lang w:eastAsia="zh-CN"/>
              </w:rPr>
              <w:t>、</w:t>
            </w:r>
            <w:r>
              <w:rPr>
                <w:rFonts w:hint="eastAsia"/>
                <w:sz w:val="21"/>
                <w:szCs w:val="21"/>
                <w:lang w:val="en-US" w:eastAsia="zh-CN"/>
              </w:rPr>
              <w:t>领用时间</w:t>
            </w:r>
            <w:r>
              <w:rPr>
                <w:rFonts w:hint="eastAsia"/>
                <w:sz w:val="21"/>
                <w:szCs w:val="21"/>
                <w:lang w:eastAsia="zh-CN"/>
              </w:rPr>
              <w:t>、</w:t>
            </w:r>
            <w:r>
              <w:rPr>
                <w:rFonts w:hint="eastAsia"/>
                <w:sz w:val="21"/>
                <w:szCs w:val="21"/>
              </w:rPr>
              <w:t>分发号</w:t>
            </w:r>
            <w:r>
              <w:rPr>
                <w:rFonts w:hint="eastAsia"/>
                <w:sz w:val="21"/>
                <w:szCs w:val="21"/>
                <w:lang w:val="en-US" w:eastAsia="zh-CN"/>
              </w:rPr>
              <w:t>等</w:t>
            </w:r>
            <w:r>
              <w:rPr>
                <w:rFonts w:hint="eastAsia"/>
                <w:sz w:val="21"/>
                <w:szCs w:val="21"/>
              </w:rPr>
              <w:t>，</w:t>
            </w:r>
            <w:r>
              <w:rPr>
                <w:rFonts w:hint="eastAsia" w:eastAsia="宋体" w:cs="Times New Roman"/>
                <w:sz w:val="21"/>
                <w:szCs w:val="21"/>
              </w:rPr>
              <w:t>管理手册</w:t>
            </w:r>
            <w:r>
              <w:rPr>
                <w:rFonts w:hint="eastAsia" w:cs="Times New Roman"/>
                <w:sz w:val="21"/>
                <w:szCs w:val="21"/>
                <w:lang w:val="en-US" w:eastAsia="zh-CN"/>
              </w:rPr>
              <w:t>和程序文件</w:t>
            </w:r>
            <w:r>
              <w:rPr>
                <w:rFonts w:hint="eastAsia" w:eastAsia="宋体" w:cs="Times New Roman"/>
                <w:sz w:val="21"/>
                <w:szCs w:val="21"/>
                <w:lang w:val="en-US" w:eastAsia="zh-CN"/>
              </w:rPr>
              <w:t>的</w:t>
            </w:r>
            <w:r>
              <w:rPr>
                <w:rFonts w:hint="eastAsia"/>
                <w:sz w:val="21"/>
                <w:szCs w:val="21"/>
              </w:rPr>
              <w:t>领用部门有：总经理、</w:t>
            </w:r>
            <w:r>
              <w:rPr>
                <w:rFonts w:hint="eastAsia"/>
                <w:sz w:val="21"/>
                <w:szCs w:val="21"/>
                <w:lang w:val="en-US" w:eastAsia="zh-CN"/>
              </w:rPr>
              <w:t>办公室、供销部</w:t>
            </w:r>
            <w:r>
              <w:rPr>
                <w:rFonts w:hint="eastAsia"/>
                <w:sz w:val="21"/>
                <w:szCs w:val="21"/>
              </w:rPr>
              <w:t>，</w:t>
            </w:r>
            <w:r>
              <w:rPr>
                <w:rFonts w:hint="eastAsia"/>
                <w:sz w:val="21"/>
                <w:szCs w:val="21"/>
                <w:lang w:val="en-US" w:eastAsia="zh-CN"/>
              </w:rPr>
              <w:t>发放及接受日期：2022.1.3.；</w:t>
            </w:r>
          </w:p>
          <w:p>
            <w:pPr>
              <w:pStyle w:val="2"/>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查管理手册、程序文件</w:t>
            </w:r>
            <w:r>
              <w:rPr>
                <w:rFonts w:hint="eastAsia" w:cs="宋体" w:asciiTheme="minorEastAsia" w:hAnsiTheme="minorEastAsia" w:eastAsiaTheme="minorEastAsia"/>
                <w:sz w:val="21"/>
                <w:szCs w:val="21"/>
                <w:lang w:eastAsia="zh-CN"/>
              </w:rPr>
              <w:t>20</w:t>
            </w:r>
            <w:r>
              <w:rPr>
                <w:rFonts w:hint="eastAsia" w:cs="宋体" w:asciiTheme="minorEastAsia" w:hAnsiTheme="minorEastAsia" w:eastAsiaTheme="minorEastAsia"/>
                <w:sz w:val="21"/>
                <w:szCs w:val="21"/>
                <w:lang w:val="en-US" w:eastAsia="zh-CN"/>
              </w:rPr>
              <w:t>22</w:t>
            </w:r>
            <w:r>
              <w:rPr>
                <w:rFonts w:hint="eastAsia" w:cs="宋体" w:asciiTheme="minorEastAsia" w:hAnsiTheme="minorEastAsia" w:eastAsiaTheme="minorEastAsia"/>
                <w:sz w:val="21"/>
                <w:szCs w:val="21"/>
                <w:lang w:eastAsia="zh-CN"/>
              </w:rPr>
              <w:t>年</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lang w:eastAsia="zh-CN"/>
              </w:rPr>
              <w:t>月</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lang w:eastAsia="zh-CN"/>
              </w:rPr>
              <w:t>日</w:t>
            </w:r>
            <w:r>
              <w:rPr>
                <w:rFonts w:hint="eastAsia" w:cs="宋体" w:asciiTheme="minorEastAsia" w:hAnsiTheme="minorEastAsia" w:eastAsiaTheme="minorEastAsia"/>
                <w:sz w:val="21"/>
                <w:szCs w:val="21"/>
                <w:lang w:val="en-US" w:eastAsia="zh-CN"/>
              </w:rPr>
              <w:t>实施</w:t>
            </w:r>
            <w:r>
              <w:rPr>
                <w:rFonts w:hint="eastAsia" w:asciiTheme="minorEastAsia" w:hAnsiTheme="minorEastAsia" w:eastAsiaTheme="minorEastAsia"/>
                <w:sz w:val="21"/>
                <w:szCs w:val="21"/>
              </w:rPr>
              <w:t>有受控标识，有效版本。</w:t>
            </w:r>
          </w:p>
          <w:p>
            <w:pPr>
              <w:spacing w:line="240" w:lineRule="auto"/>
              <w:rPr>
                <w:rFonts w:hint="eastAsia" w:cs="宋体"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查外来文件</w:t>
            </w:r>
            <w:r>
              <w:rPr>
                <w:rFonts w:hint="eastAsia" w:asciiTheme="minorEastAsia" w:hAnsiTheme="minorEastAsia" w:eastAsiaTheme="minorEastAsia"/>
                <w:sz w:val="21"/>
                <w:szCs w:val="21"/>
                <w:lang w:val="en-US" w:eastAsia="zh-CN"/>
              </w:rPr>
              <w:t>有</w:t>
            </w:r>
            <w:r>
              <w:rPr>
                <w:rFonts w:hint="eastAsia" w:cs="宋体" w:asciiTheme="minorEastAsia" w:hAnsiTheme="minorEastAsia" w:eastAsiaTheme="minorEastAsia"/>
                <w:sz w:val="21"/>
                <w:szCs w:val="21"/>
                <w:lang w:val="en-US" w:eastAsia="zh-CN"/>
              </w:rPr>
              <w:t xml:space="preserve">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中华人民共和国产品质量法</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中华人民共和国民法典</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中华人民共和国政府采购法</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 棉服装</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GB/T 2662-2017</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职业服装通用技术规范</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GB/T 38134-2019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中小学生校服 </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GB/T 31888-2015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公路作业人员工作服</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JT/T 492-2003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矿工普通工作服</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MT/T 843-1999  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普通工作服技术要求</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DB14/T 1962-2019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学生军训服 </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DB32/T 2074-2012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床上用品</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GB/T 22796-2021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学生公寓床上用品</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DB61/T 477-2009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配套床上用品 </w:t>
            </w:r>
            <w:r>
              <w:rPr>
                <w:rFonts w:hint="eastAsia" w:cs="宋体" w:asciiTheme="minorEastAsia" w:hAnsiTheme="minorEastAsia" w:eastAsiaTheme="minorEastAsia"/>
                <w:sz w:val="21"/>
                <w:szCs w:val="21"/>
                <w:lang w:val="en-US" w:eastAsia="zh-CN"/>
              </w:rPr>
              <w:tab/>
            </w:r>
            <w:r>
              <w:rPr>
                <w:rFonts w:hint="eastAsia" w:cs="宋体" w:asciiTheme="minorEastAsia" w:hAnsiTheme="minorEastAsia" w:eastAsiaTheme="minorEastAsia"/>
                <w:sz w:val="21"/>
                <w:szCs w:val="21"/>
                <w:lang w:val="en-US" w:eastAsia="zh-CN"/>
              </w:rPr>
              <w:t xml:space="preserve">             FZ/T 62010-2003 </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---查</w:t>
            </w:r>
            <w:r>
              <w:rPr>
                <w:rFonts w:hint="eastAsia" w:asciiTheme="minorEastAsia" w:hAnsiTheme="minorEastAsia" w:eastAsiaTheme="minorEastAsia"/>
                <w:sz w:val="21"/>
                <w:szCs w:val="21"/>
              </w:rPr>
              <w:t>《记录清单》，有内审报告、供方评价表、危险源清单、环境因素清单、管理评审报告等</w:t>
            </w:r>
            <w:r>
              <w:rPr>
                <w:rFonts w:hint="eastAsia" w:asciiTheme="minorEastAsia" w:hAnsiTheme="minorEastAsia" w:eastAsiaTheme="minorEastAsia"/>
                <w:sz w:val="21"/>
                <w:szCs w:val="21"/>
                <w:lang w:val="en-US" w:eastAsia="zh-CN"/>
              </w:rPr>
              <w:t>74项</w:t>
            </w:r>
            <w:r>
              <w:rPr>
                <w:rFonts w:hint="eastAsia" w:asciiTheme="minorEastAsia" w:hAnsiTheme="minorEastAsia" w:eastAsiaTheme="minorEastAsia"/>
                <w:sz w:val="21"/>
                <w:szCs w:val="21"/>
              </w:rPr>
              <w:t>记录。明确了记录名称、编号、使用保存部门、保存期限等，并经审核后使用。</w:t>
            </w:r>
          </w:p>
          <w:p>
            <w:pPr>
              <w:spacing w:line="24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外来记录（如顾客投诉记录等）由相关部门负责保管、归档。</w:t>
            </w:r>
          </w:p>
          <w:p>
            <w:pPr>
              <w:pStyle w:val="2"/>
              <w:spacing w:line="240" w:lineRule="auto"/>
              <w:rPr>
                <w:rFonts w:hint="default" w:eastAsiaTheme="minorEastAsia"/>
                <w:sz w:val="21"/>
                <w:szCs w:val="21"/>
                <w:lang w:val="en-US" w:eastAsia="zh-CN"/>
              </w:rPr>
            </w:pPr>
            <w:r>
              <w:rPr>
                <w:rFonts w:hint="eastAsia" w:asciiTheme="minorEastAsia" w:hAnsiTheme="minorEastAsia" w:eastAsiaTheme="minorEastAsia"/>
                <w:sz w:val="21"/>
                <w:szCs w:val="21"/>
                <w:lang w:val="en-US" w:eastAsia="zh-CN"/>
              </w:rPr>
              <w:t>--负责人表述，贯标期内未发生文件变更。</w:t>
            </w:r>
          </w:p>
          <w:p>
            <w:pPr>
              <w:pStyle w:val="2"/>
              <w:spacing w:line="240" w:lineRule="auto"/>
              <w:rPr>
                <w:rFonts w:hint="eastAsia"/>
                <w:sz w:val="21"/>
                <w:szCs w:val="21"/>
                <w:lang w:val="en-US"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公司文件</w:t>
            </w:r>
            <w:r>
              <w:rPr>
                <w:rFonts w:hint="eastAsia" w:asciiTheme="minorEastAsia" w:hAnsiTheme="minorEastAsia" w:eastAsiaTheme="minorEastAsia"/>
                <w:sz w:val="21"/>
                <w:szCs w:val="21"/>
                <w:lang w:val="en-US" w:eastAsia="zh-CN"/>
              </w:rPr>
              <w:t>及</w:t>
            </w:r>
            <w:r>
              <w:rPr>
                <w:rFonts w:hint="eastAsia" w:asciiTheme="minorEastAsia" w:hAnsiTheme="minorEastAsia" w:eastAsiaTheme="minorEastAsia"/>
                <w:sz w:val="21"/>
                <w:szCs w:val="21"/>
              </w:rPr>
              <w:t>记录控制基本有效。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1"/>
                <w:szCs w:val="21"/>
              </w:rPr>
            </w:pPr>
            <w:r>
              <w:rPr>
                <w:rFonts w:hint="eastAsia" w:cs="Arial" w:asciiTheme="minorEastAsia" w:hAnsiTheme="minorEastAsia" w:eastAsiaTheme="minorEastAsia"/>
                <w:color w:val="000000" w:themeColor="text1"/>
                <w:sz w:val="21"/>
                <w:szCs w:val="21"/>
              </w:rPr>
              <w:t>运行控制</w:t>
            </w:r>
          </w:p>
        </w:tc>
        <w:tc>
          <w:tcPr>
            <w:tcW w:w="960" w:type="dxa"/>
          </w:tcPr>
          <w:p>
            <w:pPr>
              <w:spacing w:line="240" w:lineRule="auto"/>
              <w:rPr>
                <w:rFonts w:hint="default"/>
                <w:sz w:val="21"/>
                <w:szCs w:val="21"/>
                <w:lang w:val="en-US" w:eastAsia="zh-CN"/>
              </w:rPr>
            </w:pPr>
            <w:r>
              <w:rPr>
                <w:rFonts w:hint="eastAsia"/>
                <w:sz w:val="21"/>
                <w:szCs w:val="21"/>
                <w:lang w:val="en-US" w:eastAsia="zh-CN"/>
              </w:rPr>
              <w:t>S8.1</w:t>
            </w:r>
          </w:p>
        </w:tc>
        <w:tc>
          <w:tcPr>
            <w:tcW w:w="10004" w:type="dxa"/>
          </w:tcPr>
          <w:p>
            <w:pPr>
              <w:spacing w:line="240" w:lineRule="auto"/>
              <w:rPr>
                <w:rFonts w:hint="eastAsia"/>
                <w:sz w:val="21"/>
                <w:szCs w:val="21"/>
                <w:lang w:eastAsia="zh-CN"/>
              </w:rPr>
            </w:pPr>
            <w:r>
              <w:rPr>
                <w:rFonts w:hint="eastAsia"/>
                <w:sz w:val="21"/>
                <w:szCs w:val="21"/>
                <w:lang w:val="en-US" w:eastAsia="zh-CN"/>
              </w:rPr>
              <w:t>---策划有《</w:t>
            </w:r>
            <w:r>
              <w:rPr>
                <w:rFonts w:hint="eastAsia"/>
                <w:sz w:val="21"/>
                <w:szCs w:val="21"/>
              </w:rPr>
              <w:t>环境、职业健康安全运行控制程序</w:t>
            </w:r>
            <w:r>
              <w:rPr>
                <w:rFonts w:hint="eastAsia"/>
                <w:sz w:val="21"/>
                <w:szCs w:val="21"/>
                <w:lang w:eastAsia="zh-CN"/>
              </w:rPr>
              <w:t>》。</w:t>
            </w:r>
          </w:p>
          <w:p>
            <w:pPr>
              <w:spacing w:line="240" w:lineRule="auto"/>
              <w:rPr>
                <w:rFonts w:hint="eastAsia" w:cs="Times New Roman" w:asciiTheme="minorEastAsia" w:hAnsiTheme="minorEastAsia" w:eastAsiaTheme="minorEastAsia"/>
                <w:sz w:val="21"/>
                <w:szCs w:val="21"/>
                <w:lang w:val="en-US" w:eastAsia="zh-CN"/>
              </w:rPr>
            </w:pPr>
            <w:r>
              <w:rPr>
                <w:rFonts w:hint="eastAsia"/>
                <w:sz w:val="21"/>
                <w:szCs w:val="21"/>
                <w:lang w:val="en-US" w:eastAsia="zh-CN"/>
              </w:rPr>
              <w:t>---</w:t>
            </w:r>
            <w:r>
              <w:rPr>
                <w:rFonts w:hint="eastAsia" w:cs="Times New Roman" w:asciiTheme="minorEastAsia" w:hAnsiTheme="minorEastAsia" w:eastAsiaTheme="minorEastAsia"/>
                <w:sz w:val="21"/>
                <w:szCs w:val="21"/>
                <w:lang w:val="en-US" w:eastAsia="zh-CN"/>
              </w:rPr>
              <w:t>制订有“</w:t>
            </w:r>
            <w:r>
              <w:rPr>
                <w:rFonts w:hint="eastAsia" w:cs="Times New Roman" w:asciiTheme="minorEastAsia" w:hAnsiTheme="minorEastAsia" w:eastAsiaTheme="minorEastAsia"/>
                <w:sz w:val="21"/>
                <w:szCs w:val="21"/>
              </w:rPr>
              <w:t>消防安全管理制度</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劳动保护及防护用品管理制度</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rPr>
              <w:t>工伤事故管理制度</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sz w:val="21"/>
                <w:szCs w:val="21"/>
              </w:rPr>
              <w:t>工伤事故管理制度</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 xml:space="preserve">及“消防安全检查表”、“劳保用品发放登记表”、“环境安全绩效检查记录”等作业文件及实施记录表格。       </w:t>
            </w:r>
          </w:p>
          <w:p>
            <w:pPr>
              <w:spacing w:line="240" w:lineRule="auto"/>
              <w:ind w:firstLine="420" w:firstLineChars="200"/>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查2022年1-3月“消防安全检查表”，频率每月一次：</w:t>
            </w:r>
          </w:p>
          <w:p>
            <w:pPr>
              <w:pStyle w:val="2"/>
              <w:spacing w:line="240" w:lineRule="auto"/>
              <w:rPr>
                <w:sz w:val="21"/>
                <w:szCs w:val="21"/>
              </w:rPr>
            </w:pPr>
            <w:r>
              <w:rPr>
                <w:sz w:val="21"/>
                <w:szCs w:val="21"/>
              </w:rPr>
              <w:drawing>
                <wp:inline distT="0" distB="0" distL="114300" distR="114300">
                  <wp:extent cx="6050280" cy="168402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050280" cy="1684020"/>
                          </a:xfrm>
                          <a:prstGeom prst="rect">
                            <a:avLst/>
                          </a:prstGeom>
                          <a:noFill/>
                          <a:ln>
                            <a:noFill/>
                          </a:ln>
                        </pic:spPr>
                      </pic:pic>
                    </a:graphicData>
                  </a:graphic>
                </wp:inline>
              </w:drawing>
            </w:r>
          </w:p>
          <w:p>
            <w:pPr>
              <w:pStyle w:val="2"/>
              <w:spacing w:line="240" w:lineRule="auto"/>
              <w:ind w:firstLine="420" w:firstLineChars="200"/>
              <w:rPr>
                <w:rFonts w:hint="eastAsia"/>
                <w:sz w:val="21"/>
                <w:szCs w:val="21"/>
                <w:lang w:val="en-US" w:eastAsia="zh-CN"/>
              </w:rPr>
            </w:pPr>
            <w:r>
              <w:rPr>
                <w:rFonts w:hint="eastAsia"/>
                <w:sz w:val="21"/>
                <w:szCs w:val="21"/>
                <w:lang w:val="en-US" w:eastAsia="zh-CN"/>
              </w:rPr>
              <w:t>查2022.4.15.“环境安全绩效检查记录”,频率每月一次：</w:t>
            </w:r>
          </w:p>
          <w:p>
            <w:pPr>
              <w:pStyle w:val="2"/>
              <w:spacing w:line="240" w:lineRule="auto"/>
              <w:rPr>
                <w:sz w:val="21"/>
                <w:szCs w:val="21"/>
              </w:rPr>
            </w:pPr>
            <w:r>
              <w:rPr>
                <w:sz w:val="21"/>
                <w:szCs w:val="21"/>
              </w:rPr>
              <w:drawing>
                <wp:inline distT="0" distB="0" distL="114300" distR="114300">
                  <wp:extent cx="5285740" cy="3629660"/>
                  <wp:effectExtent l="0" t="0" r="25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85740" cy="3629660"/>
                          </a:xfrm>
                          <a:prstGeom prst="rect">
                            <a:avLst/>
                          </a:prstGeom>
                          <a:noFill/>
                          <a:ln>
                            <a:noFill/>
                          </a:ln>
                        </pic:spPr>
                      </pic:pic>
                    </a:graphicData>
                  </a:graphic>
                </wp:inline>
              </w:drawing>
            </w:r>
          </w:p>
          <w:p>
            <w:pPr>
              <w:pStyle w:val="2"/>
              <w:spacing w:line="240" w:lineRule="auto"/>
              <w:rPr>
                <w:rFonts w:hint="eastAsia"/>
                <w:sz w:val="21"/>
                <w:szCs w:val="21"/>
                <w:lang w:val="en-US" w:eastAsia="zh-CN"/>
              </w:rPr>
            </w:pPr>
            <w:r>
              <w:rPr>
                <w:rFonts w:hint="eastAsia"/>
                <w:sz w:val="21"/>
                <w:szCs w:val="21"/>
                <w:lang w:val="en-US" w:eastAsia="zh-CN"/>
              </w:rPr>
              <w:t>另抽2022.3.14.及2022.2.19.的“环境安全绩效检查记录”，检查结果均为符合。</w:t>
            </w:r>
          </w:p>
          <w:p>
            <w:pPr>
              <w:pStyle w:val="2"/>
              <w:spacing w:line="240" w:lineRule="auto"/>
              <w:ind w:firstLine="420" w:firstLineChars="200"/>
              <w:rPr>
                <w:rFonts w:hint="eastAsia"/>
                <w:sz w:val="21"/>
                <w:szCs w:val="21"/>
                <w:lang w:val="en-US" w:eastAsia="zh-CN"/>
              </w:rPr>
            </w:pPr>
            <w:r>
              <w:rPr>
                <w:rFonts w:hint="eastAsia"/>
                <w:sz w:val="21"/>
                <w:szCs w:val="21"/>
                <w:lang w:val="en-US" w:eastAsia="zh-CN"/>
              </w:rPr>
              <w:t>查“劳动保护用品发放记录”：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898"/>
              <w:gridCol w:w="1501"/>
              <w:gridCol w:w="1340"/>
              <w:gridCol w:w="15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79" w:type="dxa"/>
                  <w:noWrap w:val="0"/>
                  <w:vAlign w:val="center"/>
                </w:tcPr>
                <w:p>
                  <w:pPr>
                    <w:spacing w:line="240" w:lineRule="auto"/>
                    <w:jc w:val="center"/>
                    <w:rPr>
                      <w:rFonts w:hint="eastAsia" w:ascii="宋体" w:hAnsi="宋体"/>
                      <w:sz w:val="21"/>
                      <w:szCs w:val="21"/>
                    </w:rPr>
                  </w:pPr>
                  <w:r>
                    <w:rPr>
                      <w:rFonts w:hint="eastAsia" w:ascii="宋体" w:hAnsi="宋体"/>
                      <w:sz w:val="21"/>
                      <w:szCs w:val="21"/>
                    </w:rPr>
                    <w:t>日期</w:t>
                  </w:r>
                </w:p>
              </w:tc>
              <w:tc>
                <w:tcPr>
                  <w:tcW w:w="1898" w:type="dxa"/>
                  <w:noWrap w:val="0"/>
                  <w:vAlign w:val="center"/>
                </w:tcPr>
                <w:p>
                  <w:pPr>
                    <w:spacing w:line="240" w:lineRule="auto"/>
                    <w:jc w:val="center"/>
                    <w:rPr>
                      <w:rFonts w:hint="eastAsia" w:ascii="宋体" w:hAnsi="宋体"/>
                      <w:sz w:val="21"/>
                      <w:szCs w:val="21"/>
                    </w:rPr>
                  </w:pPr>
                  <w:r>
                    <w:rPr>
                      <w:rFonts w:hint="eastAsia" w:ascii="宋体" w:hAnsi="宋体"/>
                      <w:sz w:val="21"/>
                      <w:szCs w:val="21"/>
                    </w:rPr>
                    <w:t>劳保用品名称</w:t>
                  </w:r>
                </w:p>
              </w:tc>
              <w:tc>
                <w:tcPr>
                  <w:tcW w:w="1501" w:type="dxa"/>
                  <w:noWrap w:val="0"/>
                  <w:vAlign w:val="center"/>
                </w:tcPr>
                <w:p>
                  <w:pPr>
                    <w:spacing w:line="240" w:lineRule="auto"/>
                    <w:jc w:val="center"/>
                    <w:rPr>
                      <w:rFonts w:hint="eastAsia" w:ascii="宋体" w:hAnsi="宋体"/>
                      <w:sz w:val="21"/>
                      <w:szCs w:val="21"/>
                    </w:rPr>
                  </w:pPr>
                  <w:r>
                    <w:rPr>
                      <w:rFonts w:hint="eastAsia" w:ascii="宋体" w:hAnsi="宋体"/>
                      <w:sz w:val="21"/>
                      <w:szCs w:val="21"/>
                    </w:rPr>
                    <w:t>单位</w:t>
                  </w:r>
                </w:p>
              </w:tc>
              <w:tc>
                <w:tcPr>
                  <w:tcW w:w="1340" w:type="dxa"/>
                  <w:noWrap w:val="0"/>
                  <w:vAlign w:val="center"/>
                </w:tcPr>
                <w:p>
                  <w:pPr>
                    <w:spacing w:line="240" w:lineRule="auto"/>
                    <w:jc w:val="center"/>
                    <w:rPr>
                      <w:rFonts w:hint="eastAsia" w:ascii="宋体" w:hAnsi="宋体"/>
                      <w:sz w:val="21"/>
                      <w:szCs w:val="21"/>
                    </w:rPr>
                  </w:pPr>
                  <w:r>
                    <w:rPr>
                      <w:rFonts w:hint="eastAsia" w:ascii="宋体" w:hAnsi="宋体"/>
                      <w:sz w:val="21"/>
                      <w:szCs w:val="21"/>
                    </w:rPr>
                    <w:t>数量</w:t>
                  </w:r>
                </w:p>
              </w:tc>
              <w:tc>
                <w:tcPr>
                  <w:tcW w:w="1580" w:type="dxa"/>
                  <w:noWrap w:val="0"/>
                  <w:vAlign w:val="center"/>
                </w:tcPr>
                <w:p>
                  <w:pPr>
                    <w:spacing w:line="240" w:lineRule="auto"/>
                    <w:jc w:val="center"/>
                    <w:rPr>
                      <w:rFonts w:hint="eastAsia" w:ascii="宋体" w:hAnsi="宋体"/>
                      <w:sz w:val="21"/>
                      <w:szCs w:val="21"/>
                    </w:rPr>
                  </w:pPr>
                  <w:r>
                    <w:rPr>
                      <w:rFonts w:hint="eastAsia" w:ascii="宋体" w:hAnsi="宋体"/>
                      <w:sz w:val="21"/>
                      <w:szCs w:val="21"/>
                    </w:rPr>
                    <w:t>发放人</w:t>
                  </w:r>
                </w:p>
              </w:tc>
              <w:tc>
                <w:tcPr>
                  <w:tcW w:w="1580" w:type="dxa"/>
                  <w:noWrap w:val="0"/>
                  <w:vAlign w:val="center"/>
                </w:tcPr>
                <w:p>
                  <w:pPr>
                    <w:spacing w:line="240" w:lineRule="auto"/>
                    <w:jc w:val="center"/>
                    <w:rPr>
                      <w:rFonts w:hint="eastAsia" w:ascii="宋体" w:hAnsi="宋体"/>
                      <w:sz w:val="21"/>
                      <w:szCs w:val="21"/>
                    </w:rPr>
                  </w:pPr>
                  <w:r>
                    <w:rPr>
                      <w:rFonts w:hint="eastAsia" w:ascii="宋体" w:hAnsi="宋体"/>
                      <w:sz w:val="21"/>
                      <w:szCs w:val="21"/>
                    </w:rPr>
                    <w:t>领用人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79" w:type="dxa"/>
                  <w:noWrap w:val="0"/>
                  <w:vAlign w:val="center"/>
                </w:tcPr>
                <w:p>
                  <w:pPr>
                    <w:spacing w:line="240" w:lineRule="auto"/>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rPr>
                    <w:t>202</w:t>
                  </w:r>
                  <w:r>
                    <w:rPr>
                      <w:rFonts w:hint="eastAsia" w:ascii="宋体" w:hAnsi="宋体" w:eastAsia="宋体" w:cs="Times New Roman"/>
                      <w:sz w:val="21"/>
                      <w:szCs w:val="21"/>
                      <w:lang w:val="en-US" w:eastAsia="zh-CN"/>
                    </w:rPr>
                    <w:t>2.1.18</w:t>
                  </w:r>
                </w:p>
              </w:tc>
              <w:tc>
                <w:tcPr>
                  <w:tcW w:w="1898"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洗手液、口罩</w:t>
                  </w:r>
                </w:p>
              </w:tc>
              <w:tc>
                <w:tcPr>
                  <w:tcW w:w="1501"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134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李俊忙</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何坤燕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79"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202</w:t>
                  </w:r>
                  <w:r>
                    <w:rPr>
                      <w:rFonts w:hint="eastAsia" w:ascii="宋体" w:hAnsi="宋体" w:eastAsia="宋体" w:cs="Times New Roman"/>
                      <w:sz w:val="21"/>
                      <w:szCs w:val="21"/>
                      <w:lang w:val="en-US" w:eastAsia="zh-CN"/>
                    </w:rPr>
                    <w:t>2.2.17</w:t>
                  </w:r>
                </w:p>
              </w:tc>
              <w:tc>
                <w:tcPr>
                  <w:tcW w:w="1898"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洗手液、口罩</w:t>
                  </w:r>
                </w:p>
              </w:tc>
              <w:tc>
                <w:tcPr>
                  <w:tcW w:w="1501"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134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李俊忙</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何坤燕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79"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202</w:t>
                  </w:r>
                  <w:r>
                    <w:rPr>
                      <w:rFonts w:hint="eastAsia" w:ascii="宋体" w:hAnsi="宋体" w:eastAsia="宋体" w:cs="Times New Roman"/>
                      <w:sz w:val="21"/>
                      <w:szCs w:val="21"/>
                      <w:lang w:val="en-US" w:eastAsia="zh-CN"/>
                    </w:rPr>
                    <w:t>2.3.15</w:t>
                  </w:r>
                </w:p>
              </w:tc>
              <w:tc>
                <w:tcPr>
                  <w:tcW w:w="1898"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洗手液、口罩</w:t>
                  </w:r>
                </w:p>
              </w:tc>
              <w:tc>
                <w:tcPr>
                  <w:tcW w:w="1501"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134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李俊忙</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何坤燕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79"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202</w:t>
                  </w:r>
                  <w:r>
                    <w:rPr>
                      <w:rFonts w:hint="eastAsia" w:ascii="宋体" w:hAnsi="宋体" w:eastAsia="宋体" w:cs="Times New Roman"/>
                      <w:sz w:val="21"/>
                      <w:szCs w:val="21"/>
                      <w:lang w:val="en-US" w:eastAsia="zh-CN"/>
                    </w:rPr>
                    <w:t>2.4.12</w:t>
                  </w:r>
                </w:p>
              </w:tc>
              <w:tc>
                <w:tcPr>
                  <w:tcW w:w="1898"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洗手液、口罩</w:t>
                  </w:r>
                </w:p>
              </w:tc>
              <w:tc>
                <w:tcPr>
                  <w:tcW w:w="1501"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134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李俊忙</w:t>
                  </w:r>
                </w:p>
              </w:tc>
              <w:tc>
                <w:tcPr>
                  <w:tcW w:w="1580" w:type="dxa"/>
                  <w:noWrap w:val="0"/>
                  <w:vAlign w:val="center"/>
                </w:tcPr>
                <w:p>
                  <w:pPr>
                    <w:spacing w:line="240" w:lineRule="auto"/>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何坤燕</w:t>
                  </w:r>
                </w:p>
              </w:tc>
            </w:tr>
          </w:tbl>
          <w:p>
            <w:pPr>
              <w:pStyle w:val="2"/>
              <w:spacing w:line="240" w:lineRule="auto"/>
              <w:rPr>
                <w:rFonts w:hint="default"/>
                <w:sz w:val="21"/>
                <w:szCs w:val="21"/>
                <w:lang w:val="en-US" w:eastAsia="zh-CN"/>
              </w:rPr>
            </w:pPr>
          </w:p>
          <w:p>
            <w:pPr>
              <w:spacing w:line="240" w:lineRule="auto"/>
              <w:ind w:firstLine="420" w:firstLineChars="200"/>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查“2022年体系运行资金投入统计”</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NO.</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项目</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预算费用</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 xml:space="preserve">实际投入                                                                                                                                                                                                                                                                                                                                                                                                                                                                                                                                          </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灭火器</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200元</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 xml:space="preserve"> 200元</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设置垃圾存放容器</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100元</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100元</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保险费</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1000元</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1000元</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4</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防疫物资</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500元</w:t>
            </w:r>
            <w:r>
              <w:rPr>
                <w:rFonts w:hint="eastAsia" w:cs="Times New Roman" w:asciiTheme="minorEastAsia" w:hAnsiTheme="minorEastAsia" w:eastAsiaTheme="minorEastAsia"/>
                <w:sz w:val="21"/>
                <w:szCs w:val="21"/>
                <w:lang w:val="en-US" w:eastAsia="zh-CN"/>
              </w:rPr>
              <w:tab/>
            </w:r>
            <w:r>
              <w:rPr>
                <w:rFonts w:hint="eastAsia" w:cs="Times New Roman" w:asciiTheme="minorEastAsia" w:hAnsiTheme="minorEastAsia" w:eastAsiaTheme="minorEastAsia"/>
                <w:sz w:val="21"/>
                <w:szCs w:val="21"/>
                <w:lang w:val="en-US" w:eastAsia="zh-CN"/>
              </w:rPr>
              <w:t>500元</w:t>
            </w:r>
          </w:p>
          <w:p>
            <w:pPr>
              <w:spacing w:line="240" w:lineRule="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远程视频查看，办公场所上下两层，其人均办公面积宽敞、整体干净整洁、采光通风良好，楼道布置绿植，无电线裸漏、乱搭等明显安全隐患，灭火器处于正常压力值；其办公场所本身不产生噪声、废气、工业废水等，室外处于居民区也不产生噪声、废气、工业废水等，办公条件良好。</w:t>
            </w:r>
          </w:p>
          <w:p>
            <w:pPr>
              <w:spacing w:line="240" w:lineRule="auto"/>
              <w:rPr>
                <w:rFonts w:hint="default"/>
                <w:b/>
                <w:sz w:val="21"/>
                <w:szCs w:val="21"/>
                <w:lang w:val="en-US" w:eastAsia="zh-CN"/>
              </w:rPr>
            </w:pPr>
            <w:r>
              <w:rPr>
                <w:rFonts w:hint="eastAsia" w:cs="Times New Roman" w:asciiTheme="minorEastAsia" w:hAnsiTheme="minorEastAsia" w:eastAsiaTheme="minorEastAsia"/>
                <w:sz w:val="21"/>
                <w:szCs w:val="21"/>
                <w:lang w:val="en-US" w:eastAsia="zh-CN"/>
              </w:rPr>
              <w:t>——运行控制满足要求。</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eastAsia="宋体"/>
                <w:sz w:val="21"/>
                <w:szCs w:val="21"/>
                <w:lang w:val="en-US" w:eastAsia="zh-CN"/>
              </w:rPr>
            </w:pPr>
            <w:r>
              <w:rPr>
                <w:rFonts w:hint="eastAsia"/>
                <w:sz w:val="21"/>
                <w:szCs w:val="21"/>
                <w:lang w:val="en-US" w:eastAsia="zh-CN"/>
              </w:rPr>
              <w:t>应急准备和响应</w:t>
            </w:r>
          </w:p>
        </w:tc>
        <w:tc>
          <w:tcPr>
            <w:tcW w:w="960" w:type="dxa"/>
          </w:tcPr>
          <w:p>
            <w:pPr>
              <w:spacing w:line="240" w:lineRule="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S8.2</w:t>
            </w:r>
          </w:p>
        </w:tc>
        <w:tc>
          <w:tcPr>
            <w:tcW w:w="10004" w:type="dxa"/>
          </w:tcPr>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--策划有《应急准备和响应控制程序》。</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--查“应急预案汇编”，包括：安全防火应急预案、事故现场人员疏散处置方案、触电事故事故应急预案、触电事故事故应急预案及环境保护应急预案。</w:t>
            </w:r>
          </w:p>
          <w:p>
            <w:pPr>
              <w:spacing w:line="240" w:lineRule="auto"/>
              <w:ind w:firstLine="420" w:firstLineChars="200"/>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查公司于2022.2.15.实施了“ 触电事故急救演练”；于2022.3.11.进行了“火灾消防演习”。</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抽“火灾消防演习”：2022.3.11；记录：李俊忙；</w:t>
            </w:r>
          </w:p>
          <w:p>
            <w:pPr>
              <w:spacing w:line="240" w:lineRule="auto"/>
              <w:rPr>
                <w:rFonts w:hint="eastAsia"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演练地点</w:t>
            </w:r>
            <w:r>
              <w:rPr>
                <w:rFonts w:hint="eastAsia" w:cs="Times New Roman" w:asciiTheme="minorEastAsia" w:hAnsiTheme="minorEastAsia" w:eastAsiaTheme="minorEastAsia"/>
                <w:sz w:val="21"/>
                <w:szCs w:val="21"/>
                <w:lang w:val="en-US" w:eastAsia="zh-CN"/>
              </w:rPr>
              <w:t>：</w:t>
            </w:r>
            <w:r>
              <w:rPr>
                <w:rFonts w:hint="default" w:cs="Times New Roman" w:asciiTheme="minorEastAsia" w:hAnsiTheme="minorEastAsia" w:eastAsiaTheme="minorEastAsia"/>
                <w:sz w:val="21"/>
                <w:szCs w:val="21"/>
                <w:lang w:val="en-US" w:eastAsia="zh-CN"/>
              </w:rPr>
              <w:t>办公区</w:t>
            </w:r>
            <w:r>
              <w:rPr>
                <w:rFonts w:hint="eastAsia" w:cs="Times New Roman" w:asciiTheme="minorEastAsia" w:hAnsiTheme="minorEastAsia" w:eastAsiaTheme="minorEastAsia"/>
                <w:sz w:val="21"/>
                <w:szCs w:val="21"/>
                <w:lang w:val="en-US" w:eastAsia="zh-CN"/>
              </w:rPr>
              <w:t>；参加人员：常建立、李俊忙、何坤燕等。</w:t>
            </w:r>
          </w:p>
          <w:p>
            <w:pPr>
              <w:spacing w:line="240" w:lineRule="auto"/>
              <w:rPr>
                <w:rFonts w:hint="default"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演练总结：</w:t>
            </w:r>
          </w:p>
          <w:p>
            <w:pPr>
              <w:spacing w:line="240" w:lineRule="auto"/>
              <w:rPr>
                <w:rFonts w:hint="default"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 xml:space="preserve">    演习结束后，供销部、办公室、应急指挥小组和消防队员进行了演习总结。对这次演习给予了充分肯定，对队员们忘我的精神进行了表扬，大家一致认为：通过演练，既锻炼了队伍又检验了队伍，提高了广大职工的消防意识和素质，为今后消防工作打下了很好的基础，为安全生产提供了可靠的保证。</w:t>
            </w:r>
          </w:p>
          <w:p>
            <w:pPr>
              <w:spacing w:line="240" w:lineRule="auto"/>
              <w:rPr>
                <w:rFonts w:hint="default" w:cs="Times New Roman" w:asciiTheme="minorEastAsia" w:hAnsiTheme="minorEastAsia" w:eastAsiaTheme="minorEastAsia"/>
                <w:sz w:val="21"/>
                <w:szCs w:val="21"/>
                <w:lang w:val="en-US" w:eastAsia="zh-CN"/>
              </w:rPr>
            </w:pPr>
            <w:r>
              <w:rPr>
                <w:rFonts w:hint="default" w:cs="Times New Roman" w:asciiTheme="minorEastAsia" w:hAnsiTheme="minorEastAsia" w:eastAsiaTheme="minorEastAsia"/>
                <w:sz w:val="21"/>
                <w:szCs w:val="21"/>
                <w:lang w:val="en-US" w:eastAsia="zh-CN"/>
              </w:rPr>
              <w:t>公司制定的应急预案和响应措施内容全面，切实可行，能满足现场应急与响应要求，将继续予以执行，近期将不作修改。</w:t>
            </w:r>
          </w:p>
          <w:p>
            <w:pPr>
              <w:spacing w:line="240" w:lineRule="auto"/>
              <w:rPr>
                <w:rFonts w:hint="default"/>
                <w:lang w:val="en-US" w:eastAsia="zh-CN"/>
              </w:rPr>
            </w:pPr>
            <w:r>
              <w:rPr>
                <w:rFonts w:hint="eastAsia" w:cs="Times New Roman" w:asciiTheme="minorEastAsia" w:hAnsiTheme="minorEastAsia" w:eastAsiaTheme="minorEastAsia"/>
                <w:color w:val="FF0000"/>
                <w:sz w:val="21"/>
                <w:szCs w:val="21"/>
                <w:lang w:val="en-US" w:eastAsia="zh-CN"/>
              </w:rPr>
              <w:t>——不符合：企业未提供新冠疫情应急预案。</w:t>
            </w:r>
          </w:p>
        </w:tc>
        <w:tc>
          <w:tcPr>
            <w:tcW w:w="1585" w:type="dxa"/>
          </w:tcPr>
          <w:p>
            <w:pPr>
              <w:spacing w:line="240" w:lineRule="auto"/>
              <w:rPr>
                <w:rFonts w:hint="eastAsia" w:eastAsia="宋体"/>
                <w:sz w:val="21"/>
                <w:szCs w:val="21"/>
                <w:lang w:val="en-US" w:eastAsia="zh-CN"/>
              </w:rPr>
            </w:pPr>
            <w:r>
              <w:rPr>
                <w:rFonts w:hint="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highlight w:val="none"/>
              </w:rPr>
            </w:pPr>
            <w:r>
              <w:rPr>
                <w:rFonts w:hint="eastAsia"/>
                <w:highlight w:val="none"/>
              </w:rPr>
              <w:t>监视、测量，</w:t>
            </w:r>
            <w:r>
              <w:rPr>
                <w:rFonts w:hint="eastAsia"/>
                <w:highlight w:val="none"/>
                <w:lang w:val="en-US" w:eastAsia="zh-CN"/>
              </w:rPr>
              <w:t>分析和评价绩效</w:t>
            </w:r>
          </w:p>
          <w:p>
            <w:pPr>
              <w:spacing w:line="240" w:lineRule="auto"/>
              <w:rPr>
                <w:rFonts w:hint="eastAsia"/>
                <w:highlight w:val="none"/>
              </w:rPr>
            </w:pPr>
            <w:r>
              <w:rPr>
                <w:rFonts w:hint="eastAsia"/>
                <w:highlight w:val="none"/>
                <w:lang w:val="en-US" w:eastAsia="zh-CN"/>
              </w:rPr>
              <w:t>事件、不符合和纠正措施</w:t>
            </w:r>
          </w:p>
          <w:p>
            <w:pPr>
              <w:spacing w:line="240" w:lineRule="auto"/>
              <w:rPr>
                <w:rFonts w:hint="eastAsia"/>
                <w:sz w:val="21"/>
                <w:szCs w:val="21"/>
                <w:lang w:val="en-US" w:eastAsia="zh-CN"/>
              </w:rPr>
            </w:pPr>
          </w:p>
        </w:tc>
        <w:tc>
          <w:tcPr>
            <w:tcW w:w="960" w:type="dxa"/>
          </w:tcPr>
          <w:p>
            <w:pPr>
              <w:spacing w:line="240" w:lineRule="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S9.1.1、10.2</w:t>
            </w:r>
          </w:p>
        </w:tc>
        <w:tc>
          <w:tcPr>
            <w:tcW w:w="10004" w:type="dxa"/>
          </w:tcPr>
          <w:p>
            <w:pPr>
              <w:pStyle w:val="15"/>
              <w:rPr>
                <w:rFonts w:hint="eastAsia"/>
                <w:highlight w:val="none"/>
                <w:lang w:eastAsia="zh-CN"/>
              </w:rPr>
            </w:pPr>
            <w:r>
              <w:rPr>
                <w:rFonts w:hint="eastAsia"/>
                <w:highlight w:val="none"/>
                <w:lang w:val="en-US" w:eastAsia="zh-CN"/>
              </w:rPr>
              <w:t>---策划有《</w:t>
            </w:r>
            <w:r>
              <w:rPr>
                <w:rFonts w:hint="default"/>
                <w:color w:val="auto"/>
                <w:highlight w:val="none"/>
                <w:lang w:val="en-US" w:eastAsia="zh-CN"/>
              </w:rPr>
              <w:t>环境、安全绩效监视和测量控制程序</w:t>
            </w:r>
            <w:r>
              <w:rPr>
                <w:rFonts w:hint="eastAsia"/>
                <w:color w:val="auto"/>
                <w:highlight w:val="none"/>
                <w:lang w:val="en-US" w:eastAsia="zh-CN"/>
              </w:rPr>
              <w:t>》，《环境、安全不符合控制程序</w:t>
            </w:r>
            <w:r>
              <w:rPr>
                <w:rFonts w:hint="eastAsia"/>
                <w:highlight w:val="none"/>
                <w:lang w:eastAsia="zh-CN"/>
              </w:rPr>
              <w:t>》、《事故（事件）报告/调查和处理控制程序》。</w:t>
            </w:r>
          </w:p>
          <w:p>
            <w:pPr>
              <w:pStyle w:val="15"/>
              <w:rPr>
                <w:highlight w:val="none"/>
              </w:rPr>
            </w:pPr>
            <w:r>
              <w:rPr>
                <w:rFonts w:hint="eastAsia"/>
                <w:highlight w:val="none"/>
                <w:lang w:val="en-US" w:eastAsia="zh-CN"/>
              </w:rPr>
              <w:t>---办公室</w:t>
            </w:r>
            <w:r>
              <w:rPr>
                <w:rFonts w:hint="eastAsia"/>
                <w:highlight w:val="none"/>
              </w:rPr>
              <w:t>按公司要求进行</w:t>
            </w:r>
            <w:r>
              <w:rPr>
                <w:rFonts w:hint="eastAsia"/>
                <w:highlight w:val="none"/>
                <w:lang w:val="en-US" w:eastAsia="zh-CN"/>
              </w:rPr>
              <w:t>S</w:t>
            </w:r>
            <w:r>
              <w:rPr>
                <w:rFonts w:hint="eastAsia"/>
                <w:highlight w:val="none"/>
              </w:rPr>
              <w:t>目标考核，培训合格率等方面的信息统计收集，并运用适宜的数据技术分析，进行</w:t>
            </w:r>
            <w:r>
              <w:rPr>
                <w:rFonts w:hint="eastAsia"/>
                <w:highlight w:val="none"/>
                <w:lang w:val="en-US" w:eastAsia="zh-CN"/>
              </w:rPr>
              <w:t>公司及</w:t>
            </w:r>
            <w:r>
              <w:rPr>
                <w:rFonts w:hint="eastAsia"/>
                <w:highlight w:val="none"/>
              </w:rPr>
              <w:t>本部门体系过程的监视、测量和分析。在年度内审、管理评审中综合检查和评价体系在</w:t>
            </w:r>
            <w:r>
              <w:rPr>
                <w:rFonts w:hint="eastAsia"/>
                <w:highlight w:val="none"/>
                <w:lang w:val="en-US" w:eastAsia="zh-CN"/>
              </w:rPr>
              <w:t>公司及</w:t>
            </w:r>
            <w:r>
              <w:rPr>
                <w:rFonts w:hint="eastAsia"/>
                <w:highlight w:val="none"/>
              </w:rPr>
              <w:t>本部门运行的符合性、有效性和适宜性。并通过这些活动积极寻找改进机会，促进</w:t>
            </w:r>
            <w:r>
              <w:rPr>
                <w:rFonts w:hint="eastAsia"/>
                <w:highlight w:val="none"/>
                <w:lang w:val="en-US" w:eastAsia="zh-CN"/>
              </w:rPr>
              <w:t>管理</w:t>
            </w:r>
            <w:r>
              <w:rPr>
                <w:rFonts w:hint="eastAsia"/>
                <w:highlight w:val="none"/>
              </w:rPr>
              <w:t>体系的持续改进，提高</w:t>
            </w:r>
            <w:r>
              <w:rPr>
                <w:rFonts w:hint="eastAsia"/>
                <w:highlight w:val="none"/>
                <w:lang w:val="en-US" w:eastAsia="zh-CN"/>
              </w:rPr>
              <w:t>管理</w:t>
            </w:r>
            <w:r>
              <w:rPr>
                <w:rFonts w:hint="eastAsia"/>
                <w:highlight w:val="none"/>
              </w:rPr>
              <w:t>体系有效性和效率。本次内审</w:t>
            </w:r>
            <w:r>
              <w:rPr>
                <w:rFonts w:hint="eastAsia"/>
                <w:highlight w:val="none"/>
                <w:lang w:val="en-US" w:eastAsia="zh-CN"/>
              </w:rPr>
              <w:t>办公室</w:t>
            </w:r>
            <w:r>
              <w:rPr>
                <w:rFonts w:hint="eastAsia"/>
                <w:highlight w:val="none"/>
              </w:rPr>
              <w:t>不符合项1项，已完成纠正和纠正措施。管理评审改进措施</w:t>
            </w:r>
            <w:r>
              <w:rPr>
                <w:rFonts w:hint="eastAsia"/>
                <w:highlight w:val="none"/>
                <w:lang w:val="en-US" w:eastAsia="zh-CN"/>
              </w:rPr>
              <w:t>目前正在实施中</w:t>
            </w:r>
            <w:r>
              <w:rPr>
                <w:rFonts w:hint="eastAsia"/>
                <w:highlight w:val="none"/>
              </w:rPr>
              <w:t>。这些活动证据在相关条款的审核中均可以证实。</w:t>
            </w:r>
          </w:p>
          <w:p>
            <w:pPr>
              <w:pStyle w:val="15"/>
              <w:rPr>
                <w:highlight w:val="none"/>
              </w:rPr>
            </w:pPr>
            <w:r>
              <w:rPr>
                <w:rFonts w:hint="eastAsia"/>
                <w:highlight w:val="none"/>
              </w:rPr>
              <w:t>查阅过程监视和测量控制证据，提供有：</w:t>
            </w:r>
          </w:p>
          <w:p>
            <w:pPr>
              <w:pStyle w:val="15"/>
              <w:rPr>
                <w:highlight w:val="none"/>
              </w:rPr>
            </w:pPr>
            <w:r>
              <w:rPr>
                <w:rFonts w:hint="eastAsia"/>
                <w:highlight w:val="none"/>
              </w:rPr>
              <w:t xml:space="preserve">1. </w:t>
            </w:r>
            <w:r>
              <w:rPr>
                <w:rFonts w:hint="eastAsia"/>
                <w:highlight w:val="none"/>
                <w:lang w:val="en-US" w:eastAsia="zh-CN"/>
              </w:rPr>
              <w:t>S</w:t>
            </w:r>
            <w:r>
              <w:rPr>
                <w:rFonts w:hint="eastAsia"/>
                <w:highlight w:val="none"/>
              </w:rPr>
              <w:t>目标指标的考评达成。</w:t>
            </w:r>
          </w:p>
          <w:p>
            <w:pPr>
              <w:pStyle w:val="15"/>
              <w:rPr>
                <w:highlight w:val="none"/>
              </w:rPr>
            </w:pPr>
            <w:r>
              <w:rPr>
                <w:rFonts w:hint="eastAsia"/>
                <w:highlight w:val="none"/>
              </w:rPr>
              <w:t>2．年度</w:t>
            </w:r>
            <w:r>
              <w:rPr>
                <w:rFonts w:hint="eastAsia"/>
                <w:highlight w:val="none"/>
                <w:lang w:val="en-US" w:eastAsia="zh-CN"/>
              </w:rPr>
              <w:t>合规性评价、</w:t>
            </w:r>
            <w:r>
              <w:rPr>
                <w:rFonts w:hint="eastAsia"/>
                <w:highlight w:val="none"/>
              </w:rPr>
              <w:t>内审</w:t>
            </w:r>
            <w:r>
              <w:rPr>
                <w:rFonts w:hint="eastAsia"/>
                <w:highlight w:val="none"/>
                <w:lang w:eastAsia="zh-CN"/>
              </w:rPr>
              <w:t>、</w:t>
            </w:r>
            <w:r>
              <w:rPr>
                <w:rFonts w:hint="eastAsia"/>
                <w:highlight w:val="none"/>
                <w:lang w:val="en-US" w:eastAsia="zh-CN"/>
              </w:rPr>
              <w:t>管评</w:t>
            </w:r>
            <w:r>
              <w:rPr>
                <w:rFonts w:hint="eastAsia"/>
                <w:highlight w:val="none"/>
              </w:rPr>
              <w:t>活动的实施。</w:t>
            </w:r>
          </w:p>
          <w:p>
            <w:pPr>
              <w:pStyle w:val="15"/>
              <w:rPr>
                <w:highlight w:val="none"/>
              </w:rPr>
            </w:pPr>
            <w:r>
              <w:rPr>
                <w:rFonts w:hint="eastAsia"/>
                <w:highlight w:val="none"/>
              </w:rPr>
              <w:t>3．过程质量控制：</w:t>
            </w:r>
            <w:r>
              <w:rPr>
                <w:rFonts w:hint="eastAsia"/>
                <w:highlight w:val="none"/>
                <w:lang w:val="en-US" w:eastAsia="zh-CN"/>
              </w:rPr>
              <w:t>危险源、职业健康安全风险与机遇的识别评价控制，</w:t>
            </w:r>
            <w:r>
              <w:rPr>
                <w:rFonts w:hint="eastAsia" w:cs="Times New Roman" w:asciiTheme="minorEastAsia" w:hAnsiTheme="minorEastAsia" w:eastAsiaTheme="minorEastAsia"/>
                <w:szCs w:val="21"/>
                <w:highlight w:val="none"/>
                <w:lang w:val="en-US" w:eastAsia="zh-CN"/>
              </w:rPr>
              <w:t>法律法规及其它要求文件清单的更新，</w:t>
            </w:r>
            <w:r>
              <w:rPr>
                <w:rFonts w:hint="eastAsia"/>
                <w:highlight w:val="none"/>
              </w:rPr>
              <w:t>培训效果评价等记录。</w:t>
            </w:r>
          </w:p>
          <w:p>
            <w:pPr>
              <w:pStyle w:val="15"/>
              <w:rPr>
                <w:rFonts w:hint="eastAsia"/>
                <w:highlight w:val="none"/>
              </w:rPr>
            </w:pPr>
          </w:p>
          <w:p>
            <w:pPr>
              <w:pStyle w:val="15"/>
              <w:rPr>
                <w:highlight w:val="none"/>
              </w:rPr>
            </w:pPr>
            <w:r>
              <w:rPr>
                <w:rFonts w:hint="eastAsia"/>
                <w:highlight w:val="none"/>
                <w:lang w:eastAsia="zh-CN"/>
              </w:rPr>
              <w:t>——</w:t>
            </w:r>
            <w:r>
              <w:rPr>
                <w:rFonts w:hint="eastAsia"/>
                <w:highlight w:val="none"/>
              </w:rPr>
              <w:t>监视、测量，评价和改进机制基本有效。</w:t>
            </w:r>
          </w:p>
          <w:p>
            <w:pPr>
              <w:spacing w:line="240" w:lineRule="auto"/>
              <w:rPr>
                <w:rFonts w:hint="eastAsia" w:cs="Times New Roman" w:asciiTheme="minorEastAsia" w:hAnsiTheme="minorEastAsia" w:eastAsiaTheme="minorEastAsia"/>
                <w:color w:val="FF0000"/>
                <w:sz w:val="21"/>
                <w:szCs w:val="21"/>
                <w:lang w:val="en-US" w:eastAsia="zh-CN"/>
              </w:rPr>
            </w:pPr>
          </w:p>
        </w:tc>
        <w:tc>
          <w:tcPr>
            <w:tcW w:w="1585" w:type="dxa"/>
          </w:tcPr>
          <w:p>
            <w:pPr>
              <w:spacing w:line="240" w:lineRule="auto"/>
              <w:rPr>
                <w:rFonts w:hint="default"/>
                <w:color w:val="FF0000"/>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sz w:val="21"/>
                <w:szCs w:val="21"/>
                <w:lang w:val="en-US" w:eastAsia="zh-CN"/>
              </w:rPr>
            </w:pPr>
            <w:r>
              <w:rPr>
                <w:rFonts w:hint="eastAsia"/>
                <w:sz w:val="21"/>
                <w:szCs w:val="21"/>
                <w:lang w:val="en-US" w:eastAsia="zh-CN"/>
              </w:rPr>
              <w:t>内审</w:t>
            </w:r>
          </w:p>
        </w:tc>
        <w:tc>
          <w:tcPr>
            <w:tcW w:w="960" w:type="dxa"/>
          </w:tcPr>
          <w:p>
            <w:pPr>
              <w:spacing w:line="240" w:lineRule="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S9.2</w:t>
            </w:r>
          </w:p>
        </w:tc>
        <w:tc>
          <w:tcPr>
            <w:tcW w:w="10004" w:type="dxa"/>
          </w:tcPr>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---制定了《内部审核控制程序》进行内部审核过程控制，本部门主控。</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提供内审记录，抽查内容如下：</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审核组：常建立、李俊忙：提供有内审员任命书及内审员培训合格证明；</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提供有首末次会议签到表，签到人员有总经理/管代，办公室和供销部负责人以及员工代表，提供有手写签到表；</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查2022.4.8-9.实施的内部审核，内容包括审核目的、审核范围、审核准则、审核具体日程安排、编制批准等，内容完整，能够满足策划要求。</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提供各部门《内部审核检查表》，内容包括条款号、检查内容、检查记录和结果判定等，记录显示，审核组有按照计划要求进行，满足执行要求。</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内审报告》中内部审核结论记录如下：通过本次审核，各部门负责人及员工增强了质量和安全意识，提高了质量和安全方面的控制能力，审核组认为本公司建立的管理体系基本符合和GB/T19001-2016标准、GB/T24001-2016标准和GB/T45001-2020标准的要求，且运行有效。</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查“内部审核不符合项报告”，不合格事实描述：</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办公室“查办公区运行环境，未设置分类垃圾桶”。</w:t>
            </w:r>
            <w:bookmarkStart w:id="3" w:name="_GoBack"/>
            <w:bookmarkEnd w:id="3"/>
          </w:p>
          <w:p>
            <w:pPr>
              <w:spacing w:line="240" w:lineRule="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已分析原因、实施纠正、验证关闭。</w:t>
            </w:r>
          </w:p>
          <w:p>
            <w:pPr>
              <w:spacing w:line="240" w:lineRule="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——内部审核控制基本有效。</w:t>
            </w:r>
          </w:p>
          <w:p>
            <w:pPr>
              <w:spacing w:line="240" w:lineRule="auto"/>
              <w:rPr>
                <w:rFonts w:hint="eastAsia" w:cs="Times New Roman" w:asciiTheme="minorEastAsia" w:hAnsiTheme="minorEastAsia" w:eastAsiaTheme="minorEastAsia"/>
                <w:color w:val="FF0000"/>
                <w:sz w:val="21"/>
                <w:szCs w:val="21"/>
                <w:lang w:val="en-US" w:eastAsia="zh-CN"/>
              </w:rPr>
            </w:pPr>
          </w:p>
        </w:tc>
        <w:tc>
          <w:tcPr>
            <w:tcW w:w="1585" w:type="dxa"/>
          </w:tcPr>
          <w:p>
            <w:pPr>
              <w:spacing w:line="240" w:lineRule="auto"/>
              <w:rPr>
                <w:rFonts w:hint="default"/>
                <w:color w:val="FF0000"/>
                <w:sz w:val="21"/>
                <w:szCs w:val="21"/>
                <w:lang w:val="en-US" w:eastAsia="zh-CN"/>
              </w:rPr>
            </w:pPr>
            <w:r>
              <w:rPr>
                <w:rFonts w:hint="eastAsia"/>
                <w:color w:val="auto"/>
                <w:sz w:val="21"/>
                <w:szCs w:val="21"/>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00C310D"/>
    <w:rsid w:val="00381040"/>
    <w:rsid w:val="00AD7338"/>
    <w:rsid w:val="013252F4"/>
    <w:rsid w:val="01A050EF"/>
    <w:rsid w:val="01C0753F"/>
    <w:rsid w:val="01C34939"/>
    <w:rsid w:val="02117D9A"/>
    <w:rsid w:val="02816CCE"/>
    <w:rsid w:val="029B693F"/>
    <w:rsid w:val="039E3010"/>
    <w:rsid w:val="03B1713F"/>
    <w:rsid w:val="04006E1F"/>
    <w:rsid w:val="04340892"/>
    <w:rsid w:val="04D0147D"/>
    <w:rsid w:val="05616943"/>
    <w:rsid w:val="05986E4C"/>
    <w:rsid w:val="06930D7E"/>
    <w:rsid w:val="070A791E"/>
    <w:rsid w:val="070C017D"/>
    <w:rsid w:val="0775790E"/>
    <w:rsid w:val="09C6146A"/>
    <w:rsid w:val="0A6C2012"/>
    <w:rsid w:val="0ADA52AA"/>
    <w:rsid w:val="0BAE560B"/>
    <w:rsid w:val="0CEE6D0E"/>
    <w:rsid w:val="0D6E6DC9"/>
    <w:rsid w:val="0DF16004"/>
    <w:rsid w:val="0FD8230D"/>
    <w:rsid w:val="101D09B7"/>
    <w:rsid w:val="11124F95"/>
    <w:rsid w:val="111C4301"/>
    <w:rsid w:val="11226B27"/>
    <w:rsid w:val="11D112A4"/>
    <w:rsid w:val="11DA0582"/>
    <w:rsid w:val="131F6DE2"/>
    <w:rsid w:val="13BF65A8"/>
    <w:rsid w:val="146D5DCC"/>
    <w:rsid w:val="14791424"/>
    <w:rsid w:val="14EE5212"/>
    <w:rsid w:val="158226ED"/>
    <w:rsid w:val="16774218"/>
    <w:rsid w:val="1682101F"/>
    <w:rsid w:val="16B24CC6"/>
    <w:rsid w:val="16DA2656"/>
    <w:rsid w:val="170D2487"/>
    <w:rsid w:val="174533BC"/>
    <w:rsid w:val="184B6451"/>
    <w:rsid w:val="18545267"/>
    <w:rsid w:val="185A6071"/>
    <w:rsid w:val="18623BE3"/>
    <w:rsid w:val="187D56A6"/>
    <w:rsid w:val="196C5B8A"/>
    <w:rsid w:val="199B4BE9"/>
    <w:rsid w:val="1A1104E0"/>
    <w:rsid w:val="1A3441CE"/>
    <w:rsid w:val="1A6F50AD"/>
    <w:rsid w:val="1B180889"/>
    <w:rsid w:val="1DD97567"/>
    <w:rsid w:val="1DFD1B97"/>
    <w:rsid w:val="1E5866DD"/>
    <w:rsid w:val="1E6E5F01"/>
    <w:rsid w:val="1EB62127"/>
    <w:rsid w:val="1ECF36EE"/>
    <w:rsid w:val="1EFE6937"/>
    <w:rsid w:val="1F1253D7"/>
    <w:rsid w:val="1F7C289F"/>
    <w:rsid w:val="215C0319"/>
    <w:rsid w:val="21753D85"/>
    <w:rsid w:val="223D2361"/>
    <w:rsid w:val="22D87074"/>
    <w:rsid w:val="22FD5FBB"/>
    <w:rsid w:val="23164DB9"/>
    <w:rsid w:val="238E12B3"/>
    <w:rsid w:val="23EF7EB9"/>
    <w:rsid w:val="24625F84"/>
    <w:rsid w:val="24AF47E4"/>
    <w:rsid w:val="24FE5B05"/>
    <w:rsid w:val="25A55F80"/>
    <w:rsid w:val="27F91B50"/>
    <w:rsid w:val="292024A8"/>
    <w:rsid w:val="29230B54"/>
    <w:rsid w:val="29AC3D81"/>
    <w:rsid w:val="29AF561F"/>
    <w:rsid w:val="2A255353"/>
    <w:rsid w:val="2AD72E57"/>
    <w:rsid w:val="2B1C518D"/>
    <w:rsid w:val="2B305906"/>
    <w:rsid w:val="2C4C53A8"/>
    <w:rsid w:val="2C8A453F"/>
    <w:rsid w:val="2CC65012"/>
    <w:rsid w:val="2D8079FF"/>
    <w:rsid w:val="2DA507FD"/>
    <w:rsid w:val="2DA60AE7"/>
    <w:rsid w:val="2DF57AFB"/>
    <w:rsid w:val="2EEE136D"/>
    <w:rsid w:val="30302262"/>
    <w:rsid w:val="30B92C7D"/>
    <w:rsid w:val="316867E0"/>
    <w:rsid w:val="316C3DB4"/>
    <w:rsid w:val="32814995"/>
    <w:rsid w:val="33770F5C"/>
    <w:rsid w:val="34F75D34"/>
    <w:rsid w:val="35026356"/>
    <w:rsid w:val="35EA74D5"/>
    <w:rsid w:val="370B7EAA"/>
    <w:rsid w:val="37AE6F16"/>
    <w:rsid w:val="38034FE9"/>
    <w:rsid w:val="38C7194B"/>
    <w:rsid w:val="39DE1D35"/>
    <w:rsid w:val="3A970136"/>
    <w:rsid w:val="3A9858F6"/>
    <w:rsid w:val="3B842468"/>
    <w:rsid w:val="3BFB3321"/>
    <w:rsid w:val="3C4165AB"/>
    <w:rsid w:val="3CFE62E5"/>
    <w:rsid w:val="3ECA7E08"/>
    <w:rsid w:val="3EE53B65"/>
    <w:rsid w:val="3F373C95"/>
    <w:rsid w:val="3F4E170B"/>
    <w:rsid w:val="3F8A64BB"/>
    <w:rsid w:val="3F9F1692"/>
    <w:rsid w:val="43EC4C6C"/>
    <w:rsid w:val="45140D01"/>
    <w:rsid w:val="45A65EB7"/>
    <w:rsid w:val="45AC6586"/>
    <w:rsid w:val="46CD560B"/>
    <w:rsid w:val="47C06148"/>
    <w:rsid w:val="48CB25B9"/>
    <w:rsid w:val="493E3092"/>
    <w:rsid w:val="4B3B3B43"/>
    <w:rsid w:val="4B3C0597"/>
    <w:rsid w:val="4BCE3AD9"/>
    <w:rsid w:val="4BD50BA9"/>
    <w:rsid w:val="4C7D7170"/>
    <w:rsid w:val="4C7F3D01"/>
    <w:rsid w:val="4CAA7962"/>
    <w:rsid w:val="4E107292"/>
    <w:rsid w:val="4E2D3546"/>
    <w:rsid w:val="4EBB48DA"/>
    <w:rsid w:val="4EF04145"/>
    <w:rsid w:val="4F0516BA"/>
    <w:rsid w:val="4F6E3703"/>
    <w:rsid w:val="4FA926FE"/>
    <w:rsid w:val="4FF542DA"/>
    <w:rsid w:val="502311B8"/>
    <w:rsid w:val="50736F3E"/>
    <w:rsid w:val="50BC3BFE"/>
    <w:rsid w:val="51594625"/>
    <w:rsid w:val="51C92E73"/>
    <w:rsid w:val="51DC2BA6"/>
    <w:rsid w:val="52642B9B"/>
    <w:rsid w:val="5288271D"/>
    <w:rsid w:val="52F87809"/>
    <w:rsid w:val="53E775E0"/>
    <w:rsid w:val="53EB5322"/>
    <w:rsid w:val="54F2448F"/>
    <w:rsid w:val="55055F70"/>
    <w:rsid w:val="55574366"/>
    <w:rsid w:val="556C49D6"/>
    <w:rsid w:val="559573A0"/>
    <w:rsid w:val="570C5CDB"/>
    <w:rsid w:val="57D8796C"/>
    <w:rsid w:val="581777EA"/>
    <w:rsid w:val="595E1AA7"/>
    <w:rsid w:val="5986574F"/>
    <w:rsid w:val="5AD20FEA"/>
    <w:rsid w:val="5ADE25C2"/>
    <w:rsid w:val="5B187A9A"/>
    <w:rsid w:val="5BAB5397"/>
    <w:rsid w:val="5C78263C"/>
    <w:rsid w:val="5CBC1D80"/>
    <w:rsid w:val="5D530F81"/>
    <w:rsid w:val="5DB11FEC"/>
    <w:rsid w:val="5E581806"/>
    <w:rsid w:val="5FF50894"/>
    <w:rsid w:val="60EC5317"/>
    <w:rsid w:val="615C160D"/>
    <w:rsid w:val="61C36FD5"/>
    <w:rsid w:val="62AB12A2"/>
    <w:rsid w:val="635D166D"/>
    <w:rsid w:val="639F4AD0"/>
    <w:rsid w:val="63AE1A95"/>
    <w:rsid w:val="64D94532"/>
    <w:rsid w:val="65674D2A"/>
    <w:rsid w:val="661510C6"/>
    <w:rsid w:val="66C10CD2"/>
    <w:rsid w:val="671F55B7"/>
    <w:rsid w:val="672579CA"/>
    <w:rsid w:val="67BF7008"/>
    <w:rsid w:val="688838B3"/>
    <w:rsid w:val="69C3796C"/>
    <w:rsid w:val="6B130DCB"/>
    <w:rsid w:val="6B7D29EC"/>
    <w:rsid w:val="6DE035C6"/>
    <w:rsid w:val="6DFB4002"/>
    <w:rsid w:val="6E367FF3"/>
    <w:rsid w:val="6ECB1B80"/>
    <w:rsid w:val="6F190BEB"/>
    <w:rsid w:val="6FA611F0"/>
    <w:rsid w:val="707B4D81"/>
    <w:rsid w:val="713044EC"/>
    <w:rsid w:val="716E1953"/>
    <w:rsid w:val="71A1306D"/>
    <w:rsid w:val="71A93C6D"/>
    <w:rsid w:val="71D92115"/>
    <w:rsid w:val="72190E55"/>
    <w:rsid w:val="728E63DA"/>
    <w:rsid w:val="733166AE"/>
    <w:rsid w:val="73463ECB"/>
    <w:rsid w:val="737E2EB0"/>
    <w:rsid w:val="738F355E"/>
    <w:rsid w:val="74442EB9"/>
    <w:rsid w:val="74BC349E"/>
    <w:rsid w:val="768B3811"/>
    <w:rsid w:val="76B83ED9"/>
    <w:rsid w:val="76C27549"/>
    <w:rsid w:val="76FE0619"/>
    <w:rsid w:val="778C4864"/>
    <w:rsid w:val="77E80B2F"/>
    <w:rsid w:val="780E2ADE"/>
    <w:rsid w:val="782A430C"/>
    <w:rsid w:val="789E68AF"/>
    <w:rsid w:val="793B3B86"/>
    <w:rsid w:val="7A4D5B40"/>
    <w:rsid w:val="7B160627"/>
    <w:rsid w:val="7BEA4998"/>
    <w:rsid w:val="7C7E0232"/>
    <w:rsid w:val="7DC25D65"/>
    <w:rsid w:val="7E097FCF"/>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2"/>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0"/>
    <w:rPr>
      <w:color w:val="0000FF"/>
      <w:u w:val="singl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4602</Words>
  <Characters>5250</Characters>
  <Lines>1</Lines>
  <Paragraphs>1</Paragraphs>
  <TotalTime>4</TotalTime>
  <ScaleCrop>false</ScaleCrop>
  <LinksUpToDate>false</LinksUpToDate>
  <CharactersWithSpaces>6098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2022-05-08T15:42:21Z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2052-11.1.0.11636</vt:lpwstr>
  </property>
</Properties>
</file>