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bCs w:val="0"/>
          <w:color w:val="000000"/>
          <w:sz w:val="32"/>
          <w:szCs w:val="32"/>
        </w:rPr>
      </w:pPr>
      <w:r>
        <w:rPr>
          <w:rFonts w:hint="eastAsia" w:asciiTheme="minorEastAsia" w:hAnsiTheme="minorEastAsia" w:eastAsiaTheme="minorEastAsia"/>
          <w:b/>
          <w:bCs w:val="0"/>
          <w:color w:val="000000"/>
          <w:sz w:val="32"/>
          <w:szCs w:val="32"/>
        </w:rPr>
        <w:t>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8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0"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85"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653" w:type="dxa"/>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受审核部门：</w:t>
            </w:r>
            <w:r>
              <w:rPr>
                <w:rFonts w:hint="eastAsia" w:asciiTheme="minorEastAsia" w:hAnsiTheme="minorEastAsia" w:eastAsiaTheme="minorEastAsia"/>
                <w:szCs w:val="21"/>
                <w:lang w:val="en-US" w:eastAsia="zh-CN"/>
              </w:rPr>
              <w:t>办公室           主管领导： 晓骨</w:t>
            </w:r>
            <w:r>
              <w:rPr>
                <w:rFonts w:hint="eastAsia" w:asciiTheme="minorEastAsia" w:hAnsiTheme="minorEastAsia" w:eastAsiaTheme="minorEastAsia"/>
                <w:szCs w:val="21"/>
                <w:lang w:val="en-US" w:eastAsia="zh-CN"/>
              </w:rPr>
              <w:t xml:space="preserve">        陪同人员：晓骨</w:t>
            </w:r>
            <w:r>
              <w:rPr>
                <w:rFonts w:hint="eastAsia" w:asciiTheme="minorEastAsia" w:hAnsiTheme="minorEastAsia" w:eastAsiaTheme="minorEastAsia"/>
                <w:szCs w:val="21"/>
                <w:lang w:val="en-US" w:eastAsia="zh-CN"/>
              </w:rPr>
              <w:t xml:space="preserve"> -远程</w:t>
            </w:r>
          </w:p>
        </w:tc>
        <w:tc>
          <w:tcPr>
            <w:tcW w:w="851"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0" w:type="dxa"/>
            <w:vMerge w:val="continue"/>
            <w:vAlign w:val="center"/>
          </w:tcPr>
          <w:p>
            <w:pPr>
              <w:spacing w:line="320" w:lineRule="exact"/>
              <w:rPr>
                <w:rFonts w:asciiTheme="minorEastAsia" w:hAnsiTheme="minorEastAsia" w:eastAsiaTheme="minorEastAsia"/>
                <w:szCs w:val="21"/>
              </w:rPr>
            </w:pPr>
          </w:p>
        </w:tc>
        <w:tc>
          <w:tcPr>
            <w:tcW w:w="88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spacing w:before="120"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审核员：</w:t>
            </w:r>
            <w:r>
              <w:rPr>
                <w:rFonts w:hint="eastAsia" w:asciiTheme="minorEastAsia" w:hAnsiTheme="minorEastAsia" w:eastAsiaTheme="minorEastAsia"/>
                <w:szCs w:val="21"/>
                <w:lang w:val="en-US" w:eastAsia="zh-CN"/>
              </w:rPr>
              <w:t>喻荣秋                    审核时间：2022.4.29</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0" w:type="dxa"/>
            <w:vMerge w:val="continue"/>
            <w:vAlign w:val="center"/>
          </w:tcPr>
          <w:p>
            <w:pPr>
              <w:spacing w:line="320" w:lineRule="exact"/>
              <w:rPr>
                <w:rFonts w:asciiTheme="minorEastAsia" w:hAnsiTheme="minorEastAsia" w:eastAsiaTheme="minorEastAsia"/>
                <w:szCs w:val="21"/>
              </w:rPr>
            </w:pPr>
          </w:p>
        </w:tc>
        <w:tc>
          <w:tcPr>
            <w:tcW w:w="88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spacing w:line="300" w:lineRule="exact"/>
              <w:jc w:val="left"/>
              <w:rPr>
                <w:rFonts w:cs="Arial"/>
                <w:sz w:val="21"/>
                <w:szCs w:val="21"/>
              </w:rPr>
            </w:pPr>
            <w:r>
              <w:rPr>
                <w:rFonts w:hint="eastAsia" w:asciiTheme="minorEastAsia" w:hAnsiTheme="minorEastAsia" w:eastAsiaTheme="minorEastAsia"/>
                <w:szCs w:val="21"/>
              </w:rPr>
              <w:t>审核条款：</w:t>
            </w:r>
            <w:r>
              <w:rPr>
                <w:rFonts w:cs="Arial"/>
                <w:sz w:val="21"/>
                <w:szCs w:val="21"/>
              </w:rPr>
              <w:t>Q</w:t>
            </w:r>
            <w:r>
              <w:rPr>
                <w:rFonts w:hint="eastAsia" w:cs="Arial"/>
                <w:sz w:val="21"/>
                <w:szCs w:val="21"/>
                <w:lang w:eastAsia="zh-CN"/>
              </w:rPr>
              <w:t>：</w:t>
            </w:r>
            <w:r>
              <w:rPr>
                <w:rFonts w:hint="eastAsia" w:cs="Arial"/>
                <w:sz w:val="21"/>
                <w:szCs w:val="21"/>
              </w:rPr>
              <w:t>5</w:t>
            </w:r>
            <w:r>
              <w:rPr>
                <w:rFonts w:cs="Arial"/>
                <w:sz w:val="21"/>
                <w:szCs w:val="21"/>
              </w:rPr>
              <w:t>.3/6.2/7.1.2</w:t>
            </w:r>
            <w:r>
              <w:rPr>
                <w:rFonts w:hint="eastAsia" w:cs="Arial"/>
                <w:sz w:val="21"/>
                <w:szCs w:val="21"/>
                <w:lang w:val="en-US" w:eastAsia="zh-CN"/>
              </w:rPr>
              <w:t>/7.1.3/7.1.4</w:t>
            </w:r>
            <w:r>
              <w:rPr>
                <w:rFonts w:cs="Arial"/>
                <w:sz w:val="21"/>
                <w:szCs w:val="21"/>
              </w:rPr>
              <w:t>/</w:t>
            </w:r>
            <w:r>
              <w:rPr>
                <w:rFonts w:hint="eastAsia" w:cs="Arial"/>
                <w:sz w:val="21"/>
                <w:szCs w:val="21"/>
                <w:lang w:val="en-US" w:eastAsia="zh-CN"/>
              </w:rPr>
              <w:t>7.1.6/</w:t>
            </w:r>
            <w:r>
              <w:rPr>
                <w:rFonts w:cs="Arial"/>
                <w:sz w:val="21"/>
                <w:szCs w:val="21"/>
              </w:rPr>
              <w:t>7.2/7.3/</w:t>
            </w:r>
            <w:r>
              <w:rPr>
                <w:rFonts w:hint="eastAsia" w:cs="Arial"/>
                <w:sz w:val="21"/>
                <w:szCs w:val="21"/>
                <w:lang w:val="en-US" w:eastAsia="zh-CN"/>
              </w:rPr>
              <w:t>7.4/7.5/</w:t>
            </w:r>
            <w:r>
              <w:rPr>
                <w:rFonts w:cs="Arial"/>
                <w:sz w:val="21"/>
                <w:szCs w:val="21"/>
              </w:rPr>
              <w:t>9.1.1</w:t>
            </w:r>
            <w:r>
              <w:rPr>
                <w:rFonts w:hint="eastAsia" w:cs="Arial"/>
                <w:sz w:val="21"/>
                <w:szCs w:val="21"/>
                <w:lang w:val="en-US" w:eastAsia="zh-CN"/>
              </w:rPr>
              <w:t>/9.1.3</w:t>
            </w:r>
            <w:r>
              <w:rPr>
                <w:rFonts w:cs="Arial"/>
                <w:sz w:val="21"/>
                <w:szCs w:val="21"/>
              </w:rPr>
              <w:t>/9.2/10.2</w:t>
            </w:r>
          </w:p>
          <w:p>
            <w:pPr>
              <w:spacing w:line="300" w:lineRule="exact"/>
              <w:jc w:val="left"/>
              <w:rPr>
                <w:rFonts w:hint="eastAsia" w:cs="Arial" w:asciiTheme="minorEastAsia" w:hAnsiTheme="minorEastAsia" w:eastAsiaTheme="minorEastAsia"/>
                <w:szCs w:val="21"/>
              </w:rPr>
            </w:pPr>
            <w:r>
              <w:rPr>
                <w:rFonts w:hint="eastAsia" w:cs="Arial"/>
                <w:sz w:val="21"/>
                <w:szCs w:val="21"/>
              </w:rPr>
              <w:t>E:</w:t>
            </w:r>
            <w:r>
              <w:rPr>
                <w:rFonts w:cs="Arial"/>
                <w:sz w:val="21"/>
                <w:szCs w:val="21"/>
              </w:rPr>
              <w:t>5.3/6.1.2/6.1.3/6.1.4/6.2/7.2/7.3/8.1/8.2/9.1.1/9.1.2/</w:t>
            </w:r>
            <w:r>
              <w:rPr>
                <w:rFonts w:hint="eastAsia" w:cs="Arial"/>
                <w:sz w:val="21"/>
                <w:szCs w:val="21"/>
                <w:lang w:val="en-US" w:eastAsia="zh-CN"/>
              </w:rPr>
              <w:t>9.2/</w:t>
            </w:r>
            <w:r>
              <w:rPr>
                <w:rFonts w:cs="Arial"/>
                <w:sz w:val="21"/>
                <w:szCs w:val="21"/>
              </w:rPr>
              <w:t>10.2</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2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QE5.3</w:t>
            </w: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该部门主要负责公司管理 体系文件、资料、记录及外来文件的归档管理；制定公司人力发展规划，确保公司人力资源；制定公司员工有关培训计划并落实；公司人员业绩考评工作；进行运行控制检查；</w:t>
            </w:r>
            <w:r>
              <w:rPr>
                <w:rFonts w:hint="eastAsia" w:asciiTheme="minorEastAsia" w:hAnsiTheme="minorEastAsia" w:eastAsiaTheme="minorEastAsia"/>
                <w:szCs w:val="21"/>
                <w:lang w:val="en-US" w:eastAsia="zh-CN"/>
              </w:rPr>
              <w:t xml:space="preserve"> </w:t>
            </w:r>
          </w:p>
          <w:p>
            <w:pPr>
              <w:spacing w:line="320" w:lineRule="exact"/>
              <w:ind w:firstLine="480" w:firstLineChars="200"/>
              <w:rPr>
                <w:rFonts w:hint="eastAsia" w:asciiTheme="minorEastAsia" w:hAnsiTheme="minorEastAsia" w:eastAsiaTheme="minorEastAsia"/>
                <w:szCs w:val="21"/>
              </w:rPr>
            </w:pPr>
            <w:r>
              <w:rPr>
                <w:rFonts w:hint="eastAsia" w:ascii="宋体" w:hAnsi="宋体"/>
                <w:sz w:val="24"/>
              </w:rPr>
              <w:t>a</w:t>
            </w:r>
            <w:r>
              <w:rPr>
                <w:rFonts w:hint="eastAsia" w:asciiTheme="minorEastAsia" w:hAnsiTheme="minorEastAsia" w:eastAsiaTheme="minorEastAsia"/>
                <w:szCs w:val="21"/>
              </w:rPr>
              <w:t>)负责公司文件和记录控制；</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b)负责组织内部审核和管理评审控制；</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c)负责信息交流和外来文件接收和控制；</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d)负责文件打印、复印控制。</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e)负责公司的后勤工作，包括保安、消防等后勤活动中环境和安全管理工作：</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f)负责公司人事管理、劳保：</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g)负责员工的培训考核及特殊工作人员的资格认可工作；</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h)负责制定年度培训计划，并按计划实施，确保从事影响产品质量、环境和职业健康安全的工作人员，满足其需求的能力；负责组织员工开展各类文体活动；</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i)负责建立员工档案，组织员工健康检查工作；</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j)负责本部门的环境因素和风险的控制；</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k)负责环境和职业健康安全管理的培训工作；</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l)负责组织环境和职业健康安全的信息交流和员工协商工作。</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m)负责有关环境和职业健康安全法律法规识别、收集、适用性评价，以及传递到有关部门；</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n）负责应急预案的制定、演练、评审和修订工作；</w:t>
            </w:r>
          </w:p>
          <w:p>
            <w:pPr>
              <w:spacing w:line="320" w:lineRule="exact"/>
              <w:ind w:firstLine="420" w:firstLineChars="200"/>
              <w:rPr>
                <w:rFonts w:hint="default" w:asciiTheme="minorEastAsia" w:hAnsiTheme="minorEastAsia" w:eastAsiaTheme="minorEastAsia"/>
                <w:szCs w:val="21"/>
                <w:lang w:val="en-US" w:eastAsia="zh-CN"/>
              </w:rPr>
            </w:pP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2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szCs w:val="21"/>
              </w:rPr>
            </w:pPr>
          </w:p>
        </w:tc>
        <w:tc>
          <w:tcPr>
            <w:tcW w:w="885"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QE6.2</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公司对管理体系所需的相关职能、层次和过程设定管理目标。</w:t>
            </w:r>
          </w:p>
          <w:p>
            <w:pPr>
              <w:pStyle w:val="2"/>
              <w:rPr>
                <w:rFonts w:hint="eastAsia" w:eastAsia="宋体"/>
                <w:color w:val="auto"/>
                <w:szCs w:val="22"/>
                <w:lang w:val="en-US" w:eastAsia="zh-CN"/>
              </w:rPr>
            </w:pPr>
            <w:r>
              <w:rPr>
                <w:rFonts w:hint="eastAsia" w:eastAsia="宋体"/>
                <w:color w:val="auto"/>
                <w:szCs w:val="22"/>
                <w:lang w:val="en-US" w:eastAsia="zh-CN"/>
              </w:rPr>
              <w:t>查见“管理目标分解考核结果（2022年第1季度）”</w:t>
            </w:r>
          </w:p>
          <w:p>
            <w:pPr>
              <w:pStyle w:val="2"/>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drawing>
                <wp:anchor distT="0" distB="0" distL="114300" distR="114300" simplePos="0" relativeHeight="251659264" behindDoc="0" locked="0" layoutInCell="1" allowOverlap="1">
                  <wp:simplePos x="0" y="0"/>
                  <wp:positionH relativeFrom="column">
                    <wp:posOffset>241935</wp:posOffset>
                  </wp:positionH>
                  <wp:positionV relativeFrom="paragraph">
                    <wp:posOffset>261620</wp:posOffset>
                  </wp:positionV>
                  <wp:extent cx="6917690" cy="1071245"/>
                  <wp:effectExtent l="0" t="0" r="1270" b="10795"/>
                  <wp:wrapNone/>
                  <wp:docPr id="1" name="图片 1" descr="1651732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1732638(1)"/>
                          <pic:cNvPicPr>
                            <a:picLocks noChangeAspect="1"/>
                          </pic:cNvPicPr>
                        </pic:nvPicPr>
                        <pic:blipFill>
                          <a:blip r:embed="rId6"/>
                          <a:stretch>
                            <a:fillRect/>
                          </a:stretch>
                        </pic:blipFill>
                        <pic:spPr>
                          <a:xfrm>
                            <a:off x="0" y="0"/>
                            <a:ext cx="6917690" cy="1071245"/>
                          </a:xfrm>
                          <a:prstGeom prst="rect">
                            <a:avLst/>
                          </a:prstGeom>
                        </pic:spPr>
                      </pic:pic>
                    </a:graphicData>
                  </a:graphic>
                </wp:anchor>
              </w:drawing>
            </w:r>
            <w:r>
              <w:rPr>
                <w:rFonts w:hint="eastAsia"/>
                <w:color w:val="auto"/>
                <w:lang w:val="en-US" w:eastAsia="zh-CN"/>
              </w:rPr>
              <w:t>部门           考 核 项 目 与 要 求</w:t>
            </w:r>
            <w:r>
              <w:rPr>
                <w:rFonts w:hint="eastAsia"/>
                <w:color w:val="auto"/>
                <w:lang w:val="en-US" w:eastAsia="zh-CN"/>
              </w:rPr>
              <w:tab/>
            </w:r>
            <w:r>
              <w:rPr>
                <w:rFonts w:hint="eastAsia"/>
                <w:color w:val="auto"/>
                <w:lang w:val="en-US" w:eastAsia="zh-CN"/>
              </w:rPr>
              <w:t xml:space="preserve">          考核数</w:t>
            </w:r>
            <w:r>
              <w:rPr>
                <w:rFonts w:hint="eastAsia"/>
                <w:color w:val="auto"/>
                <w:lang w:val="en-US" w:eastAsia="zh-CN"/>
              </w:rPr>
              <w:tab/>
            </w:r>
            <w:r>
              <w:rPr>
                <w:rFonts w:hint="eastAsia"/>
                <w:color w:val="auto"/>
                <w:lang w:val="en-US" w:eastAsia="zh-CN"/>
              </w:rPr>
              <w:t xml:space="preserve"> 合格数</w:t>
            </w:r>
            <w:r>
              <w:rPr>
                <w:rFonts w:hint="eastAsia"/>
                <w:color w:val="auto"/>
                <w:lang w:val="en-US" w:eastAsia="zh-CN"/>
              </w:rPr>
              <w:tab/>
            </w:r>
            <w:r>
              <w:rPr>
                <w:rFonts w:hint="eastAsia"/>
                <w:color w:val="auto"/>
                <w:lang w:val="en-US" w:eastAsia="zh-CN"/>
              </w:rPr>
              <w:t xml:space="preserve">  合格率</w:t>
            </w:r>
            <w:r>
              <w:rPr>
                <w:rFonts w:hint="eastAsia"/>
                <w:color w:val="auto"/>
                <w:lang w:val="en-US" w:eastAsia="zh-CN"/>
              </w:rPr>
              <w:tab/>
            </w:r>
            <w:r>
              <w:rPr>
                <w:rFonts w:hint="eastAsia"/>
                <w:color w:val="auto"/>
                <w:lang w:val="en-US" w:eastAsia="zh-CN"/>
              </w:rPr>
              <w:t xml:space="preserve">      考核方法 </w:t>
            </w:r>
          </w:p>
          <w:p>
            <w:pPr>
              <w:pStyle w:val="2"/>
              <w:rPr>
                <w:rFonts w:hint="eastAsia" w:asciiTheme="minorEastAsia" w:hAnsiTheme="minorEastAsia" w:eastAsiaTheme="minorEastAsia"/>
                <w:szCs w:val="21"/>
              </w:rPr>
            </w:pPr>
          </w:p>
          <w:p>
            <w:pPr>
              <w:pStyle w:val="2"/>
              <w:rPr>
                <w:rFonts w:hint="eastAsia" w:asciiTheme="minorEastAsia" w:hAnsiTheme="minorEastAsia" w:eastAsiaTheme="minorEastAsia"/>
                <w:szCs w:val="21"/>
              </w:rPr>
            </w:pPr>
          </w:p>
          <w:p>
            <w:pPr>
              <w:pStyle w:val="2"/>
              <w:rPr>
                <w:rFonts w:hint="eastAsia" w:asciiTheme="minorEastAsia" w:hAnsiTheme="minorEastAsia" w:eastAsiaTheme="minorEastAsia"/>
                <w:szCs w:val="21"/>
              </w:rPr>
            </w:pPr>
          </w:p>
          <w:p>
            <w:pPr>
              <w:pStyle w:val="2"/>
              <w:rPr>
                <w:rFonts w:hint="default" w:eastAsiaTheme="minorEastAsia"/>
                <w:lang w:val="en-US" w:eastAsia="zh-CN"/>
              </w:rPr>
            </w:pPr>
            <w:r>
              <w:rPr>
                <w:rFonts w:hint="eastAsia" w:asciiTheme="minorEastAsia" w:hAnsiTheme="minorEastAsia" w:eastAsiaTheme="minorEastAsia"/>
                <w:szCs w:val="21"/>
                <w:lang w:val="en-US" w:eastAsia="zh-CN"/>
              </w:rPr>
              <w:t>办公室主要目标及完成情况</w:t>
            </w:r>
          </w:p>
          <w:p>
            <w:pPr>
              <w:spacing w:line="320" w:lineRule="exact"/>
              <w:ind w:firstLine="420" w:firstLineChars="200"/>
              <w:rPr>
                <w:rFonts w:hint="eastAsia" w:asciiTheme="minorEastAsia" w:hAnsiTheme="minorEastAsia" w:eastAsiaTheme="minorEastAsia"/>
                <w:szCs w:val="21"/>
                <w:lang w:val="en-US" w:eastAsia="zh-CN"/>
              </w:rPr>
            </w:pPr>
            <w:r>
              <w:rPr>
                <w:rFonts w:hint="eastAsia"/>
                <w:color w:val="auto"/>
                <w:lang w:val="en-US" w:eastAsia="zh-CN"/>
              </w:rPr>
              <w:t xml:space="preserve"> </w:t>
            </w:r>
            <w:r>
              <w:rPr>
                <w:rFonts w:hint="eastAsia" w:asciiTheme="minorEastAsia" w:hAnsiTheme="minorEastAsia" w:eastAsiaTheme="minorEastAsia"/>
                <w:szCs w:val="21"/>
              </w:rPr>
              <w:t xml:space="preserve"> </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目标可测量，与公司QEO管理方针一致。</w:t>
            </w:r>
          </w:p>
          <w:p>
            <w:pPr>
              <w:spacing w:line="32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公司规定每</w:t>
            </w:r>
            <w:r>
              <w:rPr>
                <w:rFonts w:hint="eastAsia" w:asciiTheme="minorEastAsia" w:hAnsiTheme="minorEastAsia" w:eastAsiaTheme="minorEastAsia"/>
                <w:szCs w:val="21"/>
                <w:lang w:val="en-US" w:eastAsia="zh-CN"/>
              </w:rPr>
              <w:t>季度</w:t>
            </w:r>
            <w:r>
              <w:rPr>
                <w:rFonts w:hint="eastAsia" w:asciiTheme="minorEastAsia" w:hAnsiTheme="minorEastAsia" w:eastAsiaTheme="minorEastAsia"/>
                <w:szCs w:val="21"/>
              </w:rPr>
              <w:t>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按公司管理目标考核要求统计考核公司管理目标完成情况，提交管理评审会议。</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目标均可量化可测量。</w:t>
            </w:r>
            <w:r>
              <w:rPr>
                <w:rFonts w:hint="eastAsia" w:asciiTheme="minorEastAsia" w:hAnsiTheme="minorEastAsia" w:eastAsiaTheme="minorEastAsia"/>
                <w:szCs w:val="21"/>
                <w:lang w:val="en-US" w:eastAsia="zh-CN"/>
              </w:rPr>
              <w:t>2022年一季度目标</w:t>
            </w:r>
            <w:r>
              <w:rPr>
                <w:rFonts w:hint="eastAsia" w:asciiTheme="minorEastAsia" w:hAnsiTheme="minorEastAsia" w:eastAsiaTheme="minorEastAsia"/>
                <w:szCs w:val="21"/>
              </w:rPr>
              <w:t>考核，</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管理目标均已完成。</w:t>
            </w:r>
            <w:r>
              <w:rPr>
                <w:rFonts w:hint="eastAsia" w:asciiTheme="minorEastAsia" w:hAnsiTheme="minorEastAsia" w:eastAsiaTheme="minorEastAsia"/>
                <w:szCs w:val="21"/>
                <w:lang w:val="en-US" w:eastAsia="zh-CN"/>
              </w:rPr>
              <w:t xml:space="preserve">  </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2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人员</w:t>
            </w:r>
          </w:p>
          <w:p>
            <w:pPr>
              <w:spacing w:line="320" w:lineRule="exact"/>
              <w:rPr>
                <w:rFonts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Q7.1.2</w:t>
            </w:r>
          </w:p>
          <w:p>
            <w:pPr>
              <w:spacing w:line="320" w:lineRule="exact"/>
              <w:rPr>
                <w:rFonts w:asciiTheme="minorEastAsia" w:hAnsiTheme="minorEastAsia" w:eastAsiaTheme="minorEastAsia"/>
                <w:szCs w:val="21"/>
              </w:rPr>
            </w:pPr>
          </w:p>
        </w:tc>
        <w:tc>
          <w:tcPr>
            <w:tcW w:w="11653" w:type="dxa"/>
            <w:vAlign w:val="center"/>
          </w:tcPr>
          <w:p>
            <w:pPr>
              <w:spacing w:line="320" w:lineRule="exac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根据各部门的需要配备管理体系运行所需的人员，均经过相关培训，有公司任命证书。目前公司各部门人员配备基本充分，</w:t>
            </w:r>
            <w:r>
              <w:rPr>
                <w:rFonts w:hint="eastAsia" w:asciiTheme="minorEastAsia" w:hAnsiTheme="minorEastAsia" w:eastAsiaTheme="minorEastAsia"/>
                <w:szCs w:val="21"/>
                <w:lang w:val="en-US" w:eastAsia="zh-CN"/>
              </w:rPr>
              <w:t>办公室配备的人员及职能满足体系要求，</w:t>
            </w:r>
            <w:r>
              <w:rPr>
                <w:rFonts w:hint="eastAsia" w:asciiTheme="minorEastAsia" w:hAnsiTheme="minorEastAsia" w:eastAsiaTheme="minorEastAsia"/>
                <w:szCs w:val="21"/>
              </w:rPr>
              <w:t>基本符合要求。</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基础设施 </w:t>
            </w:r>
          </w:p>
        </w:tc>
        <w:tc>
          <w:tcPr>
            <w:tcW w:w="885" w:type="dxa"/>
          </w:tcPr>
          <w:p>
            <w:pPr>
              <w:spacing w:line="320" w:lineRule="exac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Q7.1.</w:t>
            </w:r>
            <w:r>
              <w:rPr>
                <w:rFonts w:hint="eastAsia" w:cs="宋体" w:asciiTheme="minorEastAsia" w:hAnsiTheme="minorEastAsia" w:eastAsiaTheme="minorEastAsia"/>
                <w:color w:val="000000"/>
                <w:kern w:val="0"/>
                <w:szCs w:val="21"/>
                <w:lang w:val="en-US" w:eastAsia="zh-CN"/>
              </w:rPr>
              <w:t>3</w:t>
            </w:r>
          </w:p>
          <w:p>
            <w:pPr>
              <w:spacing w:line="320" w:lineRule="exact"/>
              <w:rPr>
                <w:rFonts w:asciiTheme="minorEastAsia" w:hAnsiTheme="minorEastAsia" w:eastAsiaTheme="minorEastAsia"/>
                <w:szCs w:val="21"/>
              </w:rPr>
            </w:pPr>
          </w:p>
        </w:tc>
        <w:tc>
          <w:tcPr>
            <w:tcW w:w="11653" w:type="dxa"/>
            <w:vAlign w:val="center"/>
          </w:tcPr>
          <w:p>
            <w:pPr>
              <w:spacing w:line="320" w:lineRule="exact"/>
              <w:jc w:val="left"/>
              <w:rPr>
                <w:rFonts w:hint="eastAsia"/>
                <w:lang w:val="en-US" w:eastAsia="zh-CN"/>
              </w:rPr>
            </w:pPr>
            <w:r>
              <w:rPr>
                <w:rFonts w:hint="eastAsia" w:eastAsia="宋体"/>
                <w:szCs w:val="22"/>
                <w:lang w:val="en-US" w:eastAsia="zh-CN"/>
              </w:rPr>
              <w:t>公司确定、提供和维护过程运行所需的基础设施，以获得合格的销售服务。基础设施包括：（如：办公场所、电脑、打印机、电话等）；相关办公、销售设施有交通运输、通讯设施、运输、复印、传真设备、计算机软件、水电气供应等。</w:t>
            </w:r>
            <w:r>
              <w:rPr>
                <w:rFonts w:hint="eastAsia"/>
                <w:lang w:val="en-US" w:eastAsia="zh-CN"/>
              </w:rPr>
              <w:t>公司基础设施能够满足服装销售服务的要求。查见基础设施设备台账，有电脑3台，打印机1台。《设备维修保养计划 》，对保养内容及时间做了规定。</w:t>
            </w:r>
          </w:p>
          <w:p>
            <w:pPr>
              <w:pStyle w:val="22"/>
              <w:rPr>
                <w:rFonts w:hint="eastAsia"/>
                <w:lang w:val="en-US" w:eastAsia="zh-CN"/>
              </w:rPr>
            </w:pPr>
            <w:r>
              <w:rPr>
                <w:rFonts w:hint="default"/>
                <w:lang w:val="en-US" w:eastAsia="zh-CN"/>
              </w:rPr>
              <w:drawing>
                <wp:anchor distT="0" distB="0" distL="114300" distR="114300" simplePos="0" relativeHeight="251660288" behindDoc="1" locked="0" layoutInCell="1" allowOverlap="1">
                  <wp:simplePos x="0" y="0"/>
                  <wp:positionH relativeFrom="column">
                    <wp:posOffset>1045210</wp:posOffset>
                  </wp:positionH>
                  <wp:positionV relativeFrom="paragraph">
                    <wp:posOffset>31115</wp:posOffset>
                  </wp:positionV>
                  <wp:extent cx="3423285" cy="1454785"/>
                  <wp:effectExtent l="0" t="0" r="5715" b="8255"/>
                  <wp:wrapNone/>
                  <wp:docPr id="3" name="图片 3" descr="1651821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1821765(1)"/>
                          <pic:cNvPicPr>
                            <a:picLocks noChangeAspect="1"/>
                          </pic:cNvPicPr>
                        </pic:nvPicPr>
                        <pic:blipFill>
                          <a:blip r:embed="rId7"/>
                          <a:stretch>
                            <a:fillRect/>
                          </a:stretch>
                        </pic:blipFill>
                        <pic:spPr>
                          <a:xfrm>
                            <a:off x="0" y="0"/>
                            <a:ext cx="3423285" cy="1454785"/>
                          </a:xfrm>
                          <a:prstGeom prst="rect">
                            <a:avLst/>
                          </a:prstGeom>
                        </pic:spPr>
                      </pic:pic>
                    </a:graphicData>
                  </a:graphic>
                </wp:anchor>
              </w:drawing>
            </w:r>
          </w:p>
          <w:p>
            <w:pPr>
              <w:pStyle w:val="22"/>
              <w:rPr>
                <w:rFonts w:hint="default"/>
                <w:lang w:val="en-US" w:eastAsia="zh-CN"/>
              </w:rPr>
            </w:pPr>
          </w:p>
          <w:p>
            <w:pPr>
              <w:pStyle w:val="22"/>
              <w:rPr>
                <w:rFonts w:hint="default"/>
                <w:lang w:val="en-US" w:eastAsia="zh-CN"/>
              </w:rPr>
            </w:pPr>
          </w:p>
          <w:p>
            <w:pPr>
              <w:pStyle w:val="22"/>
              <w:rPr>
                <w:rFonts w:hint="default"/>
                <w:lang w:val="en-US" w:eastAsia="zh-CN"/>
              </w:rPr>
            </w:pPr>
          </w:p>
          <w:p>
            <w:pPr>
              <w:pStyle w:val="22"/>
              <w:rPr>
                <w:rFonts w:hint="default"/>
                <w:lang w:val="en-US" w:eastAsia="zh-CN"/>
              </w:rPr>
            </w:pPr>
          </w:p>
          <w:p>
            <w:pPr>
              <w:pStyle w:val="22"/>
              <w:rPr>
                <w:rFonts w:hint="default"/>
                <w:lang w:val="en-US" w:eastAsia="zh-CN"/>
              </w:rPr>
            </w:pPr>
          </w:p>
          <w:p>
            <w:pPr>
              <w:pStyle w:val="22"/>
              <w:rPr>
                <w:rFonts w:hint="default"/>
                <w:lang w:val="en-US" w:eastAsia="zh-CN"/>
              </w:rPr>
            </w:pPr>
          </w:p>
          <w:p>
            <w:pPr>
              <w:spacing w:line="320" w:lineRule="exact"/>
              <w:jc w:val="left"/>
              <w:rPr>
                <w:rFonts w:hint="default"/>
                <w:lang w:val="en-US" w:eastAsia="zh-CN"/>
              </w:rPr>
            </w:pPr>
            <w:r>
              <w:rPr>
                <w:rFonts w:hint="eastAsia" w:asciiTheme="minorEastAsia" w:hAnsiTheme="minorEastAsia" w:eastAsiaTheme="minorEastAsia"/>
                <w:szCs w:val="21"/>
                <w:lang w:val="en-US" w:eastAsia="zh-CN"/>
              </w:rPr>
              <w:t>设备维修保养记录，2022.3.25，对电脑清理垃圾、杀毒，打印机加墨。</w:t>
            </w:r>
          </w:p>
        </w:tc>
        <w:tc>
          <w:tcPr>
            <w:tcW w:w="851" w:type="dxa"/>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32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过程运行环境 </w:t>
            </w:r>
          </w:p>
        </w:tc>
        <w:tc>
          <w:tcPr>
            <w:tcW w:w="885" w:type="dxa"/>
          </w:tcPr>
          <w:p>
            <w:pPr>
              <w:spacing w:line="320" w:lineRule="exac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Q7.1.</w:t>
            </w:r>
            <w:r>
              <w:rPr>
                <w:rFonts w:hint="eastAsia" w:cs="宋体" w:asciiTheme="minorEastAsia" w:hAnsiTheme="minorEastAsia" w:eastAsiaTheme="minorEastAsia"/>
                <w:color w:val="000000"/>
                <w:kern w:val="0"/>
                <w:szCs w:val="21"/>
                <w:lang w:val="en-US" w:eastAsia="zh-CN"/>
              </w:rPr>
              <w:t>4</w:t>
            </w: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hint="eastAsia" w:eastAsia="宋体"/>
                <w:szCs w:val="22"/>
              </w:rPr>
            </w:pPr>
            <w:r>
              <w:rPr>
                <w:rFonts w:hint="eastAsia" w:eastAsia="宋体"/>
                <w:szCs w:val="22"/>
              </w:rPr>
              <w:t>办公室根据有关法律法规及有关标准，对工作环境中影响</w:t>
            </w:r>
            <w:r>
              <w:rPr>
                <w:rFonts w:hint="eastAsia" w:eastAsia="宋体"/>
                <w:szCs w:val="22"/>
                <w:lang w:val="en-US" w:eastAsia="zh-CN"/>
              </w:rPr>
              <w:t>销售</w:t>
            </w:r>
            <w:r>
              <w:rPr>
                <w:rFonts w:hint="eastAsia" w:eastAsia="宋体"/>
                <w:szCs w:val="22"/>
              </w:rPr>
              <w:t>服务的符合性的因素组织相关部门制定相应的管理办法，加以控制，以确保工作环境支持实现公司的质量、环境和职业健康安全方针和质量目标。</w:t>
            </w:r>
          </w:p>
          <w:p>
            <w:pPr>
              <w:pStyle w:val="2"/>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w:t>
            </w:r>
            <w:r>
              <w:rPr>
                <w:rFonts w:hint="eastAsia" w:eastAsia="宋体" w:cs="Times New Roman"/>
                <w:kern w:val="2"/>
                <w:sz w:val="21"/>
                <w:szCs w:val="22"/>
                <w:lang w:val="en-US" w:eastAsia="zh-CN" w:bidi="ar-SA"/>
              </w:rPr>
              <w:t>针对</w:t>
            </w:r>
            <w:r>
              <w:rPr>
                <w:rFonts w:hint="eastAsia" w:ascii="Times New Roman" w:hAnsi="Times New Roman" w:eastAsia="宋体" w:cs="Times New Roman"/>
                <w:kern w:val="2"/>
                <w:sz w:val="21"/>
                <w:szCs w:val="22"/>
                <w:lang w:val="en-US" w:eastAsia="zh-CN" w:bidi="ar-SA"/>
              </w:rPr>
              <w:t>社会因素（如：无歧视、和谐稳定、无对抗）和心理因素（如：缓解心理压力、预防过度疲劳、保护个人感情）；加强环境保护、安全法规教育；减轻劳动强度，减少对员工的危害；建立激励机制，提高员工实现质量、环境和职业健康安全方针、目标的积极性；公司开展合理化建议活动，创造更多的参与机会。</w:t>
            </w:r>
          </w:p>
          <w:p>
            <w:pPr>
              <w:pStyle w:val="2"/>
              <w:ind w:left="0" w:leftChars="0" w:firstLine="0" w:firstLineChars="0"/>
              <w:rPr>
                <w:rFonts w:hint="default" w:asciiTheme="minorEastAsia" w:hAnsiTheme="minorEastAsia" w:eastAsiaTheme="minorEastAsia"/>
                <w:szCs w:val="21"/>
                <w:lang w:val="en-US" w:eastAsia="zh-CN"/>
              </w:rPr>
            </w:pPr>
            <w:r>
              <w:rPr>
                <w:rFonts w:hint="eastAsia" w:ascii="Times New Roman" w:hAnsi="Times New Roman" w:eastAsia="宋体" w:cs="Times New Roman"/>
                <w:kern w:val="2"/>
                <w:sz w:val="21"/>
                <w:szCs w:val="22"/>
                <w:lang w:val="en-US" w:eastAsia="zh-CN" w:bidi="ar-SA"/>
              </w:rPr>
              <w:t xml:space="preserve">公司办公室照明适合，无噪声、温度适宜，无污染、卫生清洁 </w:t>
            </w:r>
            <w:r>
              <w:rPr>
                <w:rFonts w:hint="eastAsia" w:eastAsia="宋体" w:cs="Times New Roman"/>
                <w:kern w:val="2"/>
                <w:sz w:val="21"/>
                <w:szCs w:val="22"/>
                <w:lang w:val="en-US" w:eastAsia="zh-CN" w:bidi="ar-SA"/>
              </w:rPr>
              <w:t>。运行环境基本符合。</w:t>
            </w:r>
          </w:p>
        </w:tc>
        <w:tc>
          <w:tcPr>
            <w:tcW w:w="851" w:type="dxa"/>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2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组织的知识</w:t>
            </w:r>
          </w:p>
          <w:p>
            <w:pPr>
              <w:spacing w:line="320" w:lineRule="exact"/>
              <w:rPr>
                <w:rFonts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Q7.1.6</w:t>
            </w: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hint="eastAsia"/>
              </w:rPr>
            </w:pPr>
            <w:r>
              <w:rPr>
                <w:rFonts w:hint="eastAsia"/>
              </w:rPr>
              <w:t xml:space="preserve">  公司确定运行过程所需的知识。</w:t>
            </w:r>
          </w:p>
          <w:p>
            <w:pPr>
              <w:spacing w:line="320" w:lineRule="exact"/>
              <w:ind w:firstLine="420" w:firstLineChars="200"/>
              <w:rPr>
                <w:rFonts w:hint="eastAsia"/>
              </w:rPr>
            </w:pPr>
            <w:r>
              <w:rPr>
                <w:rFonts w:hint="eastAsia"/>
              </w:rPr>
              <w:t>1）公司内部</w:t>
            </w:r>
            <w:r>
              <w:rPr>
                <w:rFonts w:hint="eastAsia"/>
                <w:lang w:val="en-US" w:eastAsia="zh-CN"/>
              </w:rPr>
              <w:t>知识</w:t>
            </w:r>
            <w:r>
              <w:rPr>
                <w:rFonts w:hint="eastAsia"/>
              </w:rPr>
              <w:t>从经历、失败和成功项目得到的经验教训、得到和分享未形成文件知识和经验、服务的改进结果等获得知识。</w:t>
            </w:r>
          </w:p>
          <w:p>
            <w:pPr>
              <w:spacing w:line="320" w:lineRule="exact"/>
              <w:ind w:firstLine="420" w:firstLineChars="200"/>
              <w:rPr>
                <w:rFonts w:hint="eastAsia"/>
              </w:rPr>
            </w:pPr>
            <w:r>
              <w:rPr>
                <w:rFonts w:hint="eastAsia"/>
              </w:rPr>
              <w:t>2）公司外部通过标准、学术交流、专业会议、从顾客或外部供方收集知识。</w:t>
            </w:r>
          </w:p>
          <w:p>
            <w:pPr>
              <w:spacing w:line="320" w:lineRule="exact"/>
              <w:ind w:firstLine="420" w:firstLineChars="200"/>
              <w:rPr>
                <w:rFonts w:hint="eastAsia"/>
              </w:rPr>
            </w:pPr>
            <w:r>
              <w:rPr>
                <w:rFonts w:hint="eastAsia"/>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p>
            <w:pPr>
              <w:spacing w:line="320" w:lineRule="exact"/>
              <w:ind w:firstLine="420" w:firstLineChars="200"/>
              <w:rPr>
                <w:rFonts w:hint="eastAsia"/>
                <w:szCs w:val="22"/>
              </w:rPr>
            </w:pPr>
            <w:r>
              <w:rPr>
                <w:rFonts w:hint="eastAsia"/>
                <w:szCs w:val="22"/>
                <w:lang w:val="en-US" w:eastAsia="zh-CN"/>
              </w:rPr>
              <w:t>查见</w:t>
            </w:r>
            <w:r>
              <w:rPr>
                <w:rFonts w:hint="eastAsia"/>
                <w:szCs w:val="22"/>
                <w:lang w:eastAsia="zh-CN"/>
              </w:rPr>
              <w:t>20</w:t>
            </w:r>
            <w:r>
              <w:rPr>
                <w:rFonts w:hint="eastAsia"/>
                <w:szCs w:val="22"/>
                <w:lang w:val="en-US" w:eastAsia="zh-CN"/>
              </w:rPr>
              <w:t>22</w:t>
            </w:r>
            <w:r>
              <w:rPr>
                <w:rFonts w:hint="eastAsia"/>
                <w:szCs w:val="22"/>
              </w:rPr>
              <w:t>年度</w:t>
            </w:r>
            <w:r>
              <w:rPr>
                <w:rFonts w:hint="eastAsia"/>
                <w:szCs w:val="22"/>
                <w:lang w:eastAsia="zh-CN"/>
              </w:rPr>
              <w:t>企业知识</w:t>
            </w:r>
            <w:r>
              <w:rPr>
                <w:rFonts w:hint="eastAsia"/>
                <w:szCs w:val="22"/>
              </w:rPr>
              <w:t>评价报告</w:t>
            </w:r>
            <w:r>
              <w:rPr>
                <w:rFonts w:hint="eastAsia"/>
                <w:szCs w:val="22"/>
                <w:lang w:eastAsia="zh-CN"/>
              </w:rPr>
              <w:t>：20</w:t>
            </w:r>
            <w:r>
              <w:rPr>
                <w:rFonts w:hint="eastAsia"/>
                <w:szCs w:val="22"/>
                <w:lang w:val="en-US" w:eastAsia="zh-CN"/>
              </w:rPr>
              <w:t>22</w:t>
            </w:r>
            <w:r>
              <w:rPr>
                <w:rFonts w:hint="eastAsia"/>
                <w:szCs w:val="22"/>
              </w:rPr>
              <w:t>年</w:t>
            </w:r>
            <w:r>
              <w:rPr>
                <w:rFonts w:hint="eastAsia"/>
                <w:szCs w:val="22"/>
                <w:lang w:val="en-US" w:eastAsia="zh-CN"/>
              </w:rPr>
              <w:t>1</w:t>
            </w:r>
            <w:r>
              <w:rPr>
                <w:rFonts w:hint="eastAsia"/>
                <w:szCs w:val="22"/>
              </w:rPr>
              <w:t>月</w:t>
            </w:r>
            <w:r>
              <w:rPr>
                <w:rFonts w:hint="eastAsia"/>
                <w:szCs w:val="22"/>
                <w:lang w:val="en-US" w:eastAsia="zh-CN"/>
              </w:rPr>
              <w:t>10</w:t>
            </w:r>
            <w:r>
              <w:rPr>
                <w:rFonts w:hint="eastAsia"/>
                <w:szCs w:val="22"/>
              </w:rPr>
              <w:t>日我公司密切关注</w:t>
            </w:r>
            <w:r>
              <w:rPr>
                <w:rFonts w:hint="eastAsia"/>
                <w:szCs w:val="22"/>
                <w:lang w:eastAsia="zh-CN"/>
              </w:rPr>
              <w:t>企业知识</w:t>
            </w:r>
            <w:r>
              <w:rPr>
                <w:rFonts w:hint="eastAsia"/>
                <w:szCs w:val="22"/>
              </w:rPr>
              <w:t>的变化，并适时调整，严格按体系标准执行。对于</w:t>
            </w:r>
            <w:r>
              <w:rPr>
                <w:rFonts w:hint="eastAsia"/>
                <w:szCs w:val="22"/>
                <w:lang w:eastAsia="zh-CN"/>
              </w:rPr>
              <w:t>企业知识</w:t>
            </w:r>
            <w:r>
              <w:rPr>
                <w:rFonts w:hint="eastAsia"/>
                <w:szCs w:val="22"/>
              </w:rPr>
              <w:t>评价分析所确定的薄弱环节，公司将制定改进措施，以持续改进公司的</w:t>
            </w:r>
            <w:r>
              <w:rPr>
                <w:rFonts w:hint="eastAsia"/>
                <w:szCs w:val="22"/>
                <w:lang w:eastAsia="zh-CN"/>
              </w:rPr>
              <w:t>运营</w:t>
            </w:r>
            <w:r>
              <w:rPr>
                <w:rFonts w:hint="eastAsia"/>
                <w:szCs w:val="22"/>
              </w:rPr>
              <w:t>绩效。对在</w:t>
            </w:r>
            <w:r>
              <w:rPr>
                <w:rFonts w:hint="eastAsia"/>
                <w:szCs w:val="22"/>
                <w:lang w:eastAsia="zh-CN"/>
              </w:rPr>
              <w:t>企业知识</w:t>
            </w:r>
            <w:r>
              <w:rPr>
                <w:rFonts w:hint="eastAsia"/>
                <w:szCs w:val="22"/>
              </w:rPr>
              <w:t>证据收集过程中发现的不</w:t>
            </w:r>
            <w:r>
              <w:rPr>
                <w:rFonts w:hint="eastAsia"/>
                <w:szCs w:val="22"/>
                <w:lang w:eastAsia="zh-CN"/>
              </w:rPr>
              <w:t>适宜</w:t>
            </w:r>
            <w:r>
              <w:rPr>
                <w:rFonts w:hint="eastAsia"/>
                <w:szCs w:val="22"/>
              </w:rPr>
              <w:t>，各</w:t>
            </w:r>
            <w:r>
              <w:rPr>
                <w:rFonts w:hint="eastAsia"/>
                <w:szCs w:val="22"/>
                <w:lang w:eastAsia="zh-CN"/>
              </w:rPr>
              <w:t>本门</w:t>
            </w:r>
            <w:r>
              <w:rPr>
                <w:rFonts w:hint="eastAsia"/>
                <w:szCs w:val="22"/>
              </w:rPr>
              <w:t>均能够及时组织原因分析，立即制定措施和组织实施纠正，通过对纠正结果的考核，表明纠正措施制订是适宜的，执行结果是有效的。对公司的</w:t>
            </w:r>
            <w:r>
              <w:rPr>
                <w:rFonts w:hint="eastAsia"/>
                <w:szCs w:val="22"/>
                <w:lang w:eastAsia="zh-CN"/>
              </w:rPr>
              <w:t>质量</w:t>
            </w:r>
            <w:r>
              <w:rPr>
                <w:rFonts w:hint="eastAsia"/>
                <w:szCs w:val="22"/>
              </w:rPr>
              <w:t>管理水平的提高起到了明显的促进作用。</w:t>
            </w:r>
          </w:p>
          <w:p>
            <w:pPr>
              <w:pStyle w:val="2"/>
              <w:rPr>
                <w:rFonts w:hint="eastAsia" w:eastAsiaTheme="minorEastAsia"/>
                <w:lang w:val="en-US" w:eastAsia="zh-CN"/>
              </w:rPr>
            </w:pPr>
            <w:r>
              <w:rPr>
                <w:rFonts w:hint="eastAsia"/>
                <w:szCs w:val="22"/>
                <w:lang w:val="en-US" w:eastAsia="zh-CN"/>
              </w:rPr>
              <w:t>基本满足要求。</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2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能力</w:t>
            </w:r>
          </w:p>
          <w:p>
            <w:pPr>
              <w:spacing w:line="320" w:lineRule="exact"/>
              <w:rPr>
                <w:rFonts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QE7.2</w:t>
            </w:r>
          </w:p>
          <w:p>
            <w:pPr>
              <w:spacing w:line="320" w:lineRule="exact"/>
              <w:rPr>
                <w:rFonts w:cs="宋体" w:asciiTheme="minorEastAsia" w:hAnsiTheme="minorEastAsia" w:eastAsiaTheme="minorEastAsia"/>
                <w:color w:val="000000"/>
                <w:kern w:val="0"/>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公司对各岗位能力规定的要求包括了专业技能、岗位资格、能力、工作经验等。</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提供《工作人员岗位任职评价表</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及部门管理人员任命书。</w:t>
            </w:r>
            <w:r>
              <w:rPr>
                <w:rFonts w:hint="eastAsia" w:asciiTheme="minorEastAsia" w:hAnsiTheme="minorEastAsia" w:eastAsiaTheme="minorEastAsia"/>
                <w:szCs w:val="21"/>
              </w:rPr>
              <w:t>主要对公司各部门负责人及员工能力要求分别从学历</w:t>
            </w:r>
            <w:r>
              <w:rPr>
                <w:rFonts w:hint="eastAsia" w:asciiTheme="minorEastAsia" w:hAnsiTheme="minorEastAsia" w:eastAsiaTheme="minorEastAsia"/>
                <w:szCs w:val="21"/>
              </w:rPr>
              <w:tab/>
            </w:r>
            <w:r>
              <w:rPr>
                <w:rFonts w:hint="eastAsia" w:asciiTheme="minorEastAsia" w:hAnsiTheme="minorEastAsia" w:eastAsiaTheme="minorEastAsia"/>
                <w:szCs w:val="21"/>
              </w:rPr>
              <w:t>所在</w:t>
            </w:r>
          </w:p>
          <w:p>
            <w:pPr>
              <w:spacing w:line="32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部门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担任职务</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学习培训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管理工作</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专业技能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环保安全意识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岗位经验</w:t>
            </w:r>
            <w:r>
              <w:rPr>
                <w:rFonts w:hint="eastAsia" w:asciiTheme="minorEastAsia" w:hAnsiTheme="minorEastAsia" w:eastAsiaTheme="minorEastAsia"/>
                <w:szCs w:val="21"/>
                <w:lang w:val="en-US" w:eastAsia="zh-CN"/>
              </w:rPr>
              <w:t>等</w:t>
            </w:r>
            <w:r>
              <w:rPr>
                <w:rFonts w:hint="eastAsia" w:asciiTheme="minorEastAsia" w:hAnsiTheme="minorEastAsia" w:eastAsiaTheme="minorEastAsia"/>
                <w:szCs w:val="21"/>
              </w:rPr>
              <w:t>定期进行评价，</w:t>
            </w:r>
            <w:r>
              <w:rPr>
                <w:rFonts w:hint="eastAsia" w:ascii="宋体" w:eastAsia="宋体"/>
                <w:sz w:val="22"/>
                <w:szCs w:val="16"/>
                <w:lang w:val="en-US" w:eastAsia="zh-CN"/>
              </w:rPr>
              <w:t>2022.01.03对常建立、李俊忙、何坤燕考核合格。</w:t>
            </w:r>
            <w:r>
              <w:rPr>
                <w:rFonts w:hint="eastAsia" w:asciiTheme="minorEastAsia" w:hAnsiTheme="minorEastAsia" w:eastAsiaTheme="minorEastAsia"/>
                <w:szCs w:val="21"/>
                <w:lang w:val="en-US" w:eastAsia="zh-CN"/>
              </w:rPr>
              <w:t xml:space="preserve"> </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抽查《培训记录</w:t>
            </w:r>
            <w:r>
              <w:rPr>
                <w:rFonts w:hint="eastAsia" w:asciiTheme="minorEastAsia" w:hAnsiTheme="minorEastAsia" w:eastAsiaTheme="minorEastAsia"/>
                <w:szCs w:val="21"/>
                <w:lang w:val="en-US" w:eastAsia="zh-CN"/>
              </w:rPr>
              <w:t>表</w:t>
            </w:r>
            <w:r>
              <w:rPr>
                <w:rFonts w:hint="eastAsia" w:asciiTheme="minorEastAsia" w:hAnsiTheme="minorEastAsia" w:eastAsiaTheme="minorEastAsia"/>
                <w:szCs w:val="21"/>
              </w:rPr>
              <w:t>》：</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学习三个标准培训</w:t>
            </w:r>
            <w:r>
              <w:rPr>
                <w:rFonts w:hint="eastAsia" w:asciiTheme="minorEastAsia" w:hAnsiTheme="minorEastAsia" w:eastAsiaTheme="minorEastAsia"/>
                <w:szCs w:val="21"/>
              </w:rPr>
              <w:tab/>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2022.1</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ab/>
            </w:r>
            <w:r>
              <w:rPr>
                <w:rFonts w:hint="eastAsia" w:asciiTheme="minorEastAsia" w:hAnsiTheme="minorEastAsia" w:eastAsiaTheme="minorEastAsia"/>
                <w:szCs w:val="21"/>
              </w:rPr>
              <w:t>办公室</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管理手册、程序文件培训</w:t>
            </w:r>
            <w:r>
              <w:rPr>
                <w:rFonts w:hint="eastAsia" w:asciiTheme="minorEastAsia" w:hAnsiTheme="minorEastAsia" w:eastAsiaTheme="minorEastAsia"/>
                <w:szCs w:val="21"/>
              </w:rPr>
              <w:tab/>
            </w:r>
            <w:r>
              <w:rPr>
                <w:rFonts w:hint="eastAsia" w:asciiTheme="minorEastAsia" w:hAnsiTheme="minorEastAsia" w:eastAsiaTheme="minorEastAsia"/>
                <w:szCs w:val="21"/>
              </w:rPr>
              <w:t>2022.2</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ab/>
            </w:r>
            <w:r>
              <w:rPr>
                <w:rFonts w:hint="eastAsia" w:asciiTheme="minorEastAsia" w:hAnsiTheme="minorEastAsia" w:eastAsiaTheme="minorEastAsia"/>
                <w:szCs w:val="21"/>
              </w:rPr>
              <w:t>办公室</w:t>
            </w:r>
          </w:p>
          <w:p>
            <w:pPr>
              <w:spacing w:line="32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应急预案培训</w:t>
            </w:r>
            <w:r>
              <w:rPr>
                <w:rFonts w:hint="eastAsia" w:asciiTheme="minorEastAsia" w:hAnsiTheme="minorEastAsia" w:eastAsiaTheme="minorEastAsia"/>
                <w:szCs w:val="21"/>
              </w:rPr>
              <w:tab/>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2022.3</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ab/>
            </w:r>
            <w:r>
              <w:rPr>
                <w:rFonts w:hint="eastAsia" w:asciiTheme="minorEastAsia" w:hAnsiTheme="minorEastAsia" w:eastAsiaTheme="minorEastAsia"/>
                <w:szCs w:val="21"/>
              </w:rPr>
              <w:t>办公室</w:t>
            </w:r>
            <w:r>
              <w:rPr>
                <w:rFonts w:hint="eastAsia" w:asciiTheme="minorEastAsia" w:hAnsiTheme="minorEastAsia" w:eastAsiaTheme="minorEastAsia"/>
                <w:szCs w:val="21"/>
                <w:lang w:val="en-US" w:eastAsia="zh-CN"/>
              </w:rPr>
              <w:t xml:space="preserve"> </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32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意识</w:t>
            </w:r>
          </w:p>
          <w:p>
            <w:pPr>
              <w:spacing w:line="320" w:lineRule="exact"/>
              <w:rPr>
                <w:rFonts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QE7.3</w:t>
            </w: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询问</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lang w:eastAsia="zh-CN"/>
              </w:rPr>
              <w:t>主任</w:t>
            </w:r>
            <w:r>
              <w:rPr>
                <w:rFonts w:hint="eastAsia" w:asciiTheme="minorEastAsia" w:hAnsiTheme="minorEastAsia" w:eastAsiaTheme="minorEastAsia"/>
                <w:szCs w:val="21"/>
                <w:lang w:val="en-US" w:eastAsia="zh-CN"/>
              </w:rPr>
              <w:t>李俊忙</w:t>
            </w:r>
            <w:r>
              <w:rPr>
                <w:rFonts w:hint="eastAsia" w:asciiTheme="minorEastAsia" w:hAnsiTheme="minorEastAsia" w:eastAsiaTheme="minorEastAsia"/>
                <w:szCs w:val="21"/>
              </w:rPr>
              <w:t>知道公司方针，知道所在的工作岗位的质量、环境、职业健康安全目标，也了解自己的工作</w:t>
            </w:r>
            <w:r>
              <w:rPr>
                <w:rFonts w:hint="eastAsia" w:asciiTheme="minorEastAsia" w:hAnsiTheme="minorEastAsia" w:eastAsiaTheme="minorEastAsia"/>
                <w:szCs w:val="21"/>
                <w:lang w:val="en-US" w:eastAsia="zh-CN"/>
              </w:rPr>
              <w:t>质量</w:t>
            </w:r>
            <w:r>
              <w:rPr>
                <w:rFonts w:hint="eastAsia" w:asciiTheme="minorEastAsia" w:hAnsiTheme="minorEastAsia" w:eastAsiaTheme="minorEastAsia"/>
                <w:szCs w:val="21"/>
              </w:rPr>
              <w:t>会影响组织资质量、环境、职业健康安全管理体系的有效运行</w:t>
            </w:r>
            <w:r>
              <w:rPr>
                <w:rFonts w:hint="eastAsia" w:asciiTheme="minorEastAsia" w:hAnsiTheme="minorEastAsia" w:eastAsiaTheme="minorEastAsia"/>
                <w:szCs w:val="21"/>
                <w:lang w:val="en-US" w:eastAsia="zh-CN"/>
              </w:rPr>
              <w:t>的效果</w:t>
            </w:r>
            <w:r>
              <w:rPr>
                <w:rFonts w:hint="eastAsia" w:asciiTheme="minorEastAsia" w:hAnsiTheme="minorEastAsia" w:eastAsiaTheme="minorEastAsia"/>
                <w:szCs w:val="21"/>
              </w:rPr>
              <w:t>。</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20" w:type="dxa"/>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沟通</w:t>
            </w:r>
          </w:p>
        </w:tc>
        <w:tc>
          <w:tcPr>
            <w:tcW w:w="885" w:type="dxa"/>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Q7.4</w:t>
            </w:r>
          </w:p>
        </w:tc>
        <w:tc>
          <w:tcPr>
            <w:tcW w:w="11653"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以及因自己岗位职责疏忽带来不符合给公司环境安全承诺带来的后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w:t>
            </w:r>
            <w:r>
              <w:rPr>
                <w:rFonts w:hint="eastAsia" w:cs="Times New Roman"/>
                <w:color w:val="auto"/>
                <w:szCs w:val="22"/>
                <w:highlight w:val="none"/>
                <w:lang w:val="en-US" w:eastAsia="zh-CN"/>
              </w:rPr>
              <w:t>基本</w:t>
            </w:r>
            <w:r>
              <w:rPr>
                <w:rFonts w:hint="default" w:ascii="Times New Roman" w:hAnsi="Times New Roman" w:cs="Times New Roman"/>
                <w:color w:val="auto"/>
                <w:szCs w:val="22"/>
                <w:highlight w:val="none"/>
                <w:lang w:val="en-US" w:eastAsia="zh-CN"/>
              </w:rPr>
              <w:t>明确自身职责及岗位要求，自身工作影响，如何减少环境污染，员工人身安全意识等。</w:t>
            </w:r>
          </w:p>
          <w:p>
            <w:pPr>
              <w:spacing w:line="320" w:lineRule="exact"/>
              <w:ind w:firstLine="420" w:firstLineChars="200"/>
              <w:rPr>
                <w:rFonts w:hint="eastAsia" w:asciiTheme="minorEastAsia" w:hAnsiTheme="minorEastAsia" w:eastAsiaTheme="minorEastAsia"/>
                <w:szCs w:val="21"/>
              </w:rPr>
            </w:pPr>
            <w:r>
              <w:rPr>
                <w:rFonts w:hint="default" w:ascii="Times New Roman" w:hAnsi="Times New Roman" w:cs="Times New Roman"/>
                <w:color w:val="auto"/>
                <w:szCs w:val="22"/>
                <w:highlight w:val="none"/>
                <w:lang w:val="en-US" w:eastAsia="zh-CN"/>
              </w:rPr>
              <w:t>基本能满足要求。</w:t>
            </w:r>
          </w:p>
        </w:tc>
        <w:tc>
          <w:tcPr>
            <w:tcW w:w="851" w:type="dxa"/>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20" w:type="dxa"/>
          </w:tcPr>
          <w:p>
            <w:pPr>
              <w:spacing w:line="32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绩效</w:t>
            </w:r>
            <w:r>
              <w:rPr>
                <w:rFonts w:hint="eastAsia" w:cs="宋体" w:asciiTheme="minorEastAsia" w:hAnsiTheme="minorEastAsia" w:eastAsiaTheme="minorEastAsia"/>
                <w:szCs w:val="21"/>
                <w:lang w:val="en-US" w:eastAsia="zh-CN"/>
              </w:rPr>
              <w:t>监视测量 、分析和评价</w:t>
            </w:r>
          </w:p>
          <w:p>
            <w:pPr>
              <w:spacing w:line="320" w:lineRule="exact"/>
              <w:rPr>
                <w:rFonts w:cs="宋体" w:asciiTheme="minorEastAsia" w:hAnsiTheme="minorEastAsia" w:eastAsiaTheme="minorEastAsia"/>
                <w:szCs w:val="21"/>
              </w:rPr>
            </w:pPr>
          </w:p>
        </w:tc>
        <w:tc>
          <w:tcPr>
            <w:tcW w:w="885" w:type="dxa"/>
          </w:tcPr>
          <w:p>
            <w:pPr>
              <w:spacing w:line="320" w:lineRule="exact"/>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szCs w:val="21"/>
                <w:lang w:val="en-US" w:eastAsia="zh-CN"/>
              </w:rPr>
              <w:t>E</w:t>
            </w:r>
            <w:r>
              <w:rPr>
                <w:rFonts w:hint="eastAsia" w:asciiTheme="minorEastAsia" w:hAnsiTheme="minorEastAsia" w:eastAsiaTheme="minorEastAsia"/>
                <w:szCs w:val="21"/>
              </w:rPr>
              <w:t>9.1.1</w:t>
            </w:r>
          </w:p>
          <w:p>
            <w:pPr>
              <w:pStyle w:val="22"/>
              <w:rPr>
                <w:rFonts w:hint="default" w:eastAsiaTheme="minorEastAsia"/>
                <w:lang w:val="en-US" w:eastAsia="zh-CN"/>
              </w:rPr>
            </w:pPr>
            <w:r>
              <w:rPr>
                <w:rFonts w:hint="eastAsia" w:asciiTheme="minorEastAsia" w:hAnsiTheme="minorEastAsia" w:eastAsiaTheme="minorEastAsia"/>
                <w:szCs w:val="21"/>
                <w:lang w:val="en-US" w:eastAsia="zh-CN"/>
              </w:rPr>
              <w:t>9.1.3</w:t>
            </w:r>
          </w:p>
          <w:p>
            <w:pPr>
              <w:spacing w:line="320" w:lineRule="exact"/>
              <w:rPr>
                <w:rFonts w:cs="宋体" w:asciiTheme="minorEastAsia" w:hAnsiTheme="minorEastAsia" w:eastAsiaTheme="minorEastAsia"/>
                <w:color w:val="000000"/>
                <w:kern w:val="0"/>
                <w:szCs w:val="21"/>
              </w:rPr>
            </w:pPr>
          </w:p>
        </w:tc>
        <w:tc>
          <w:tcPr>
            <w:tcW w:w="11653" w:type="dxa"/>
            <w:vAlign w:val="center"/>
          </w:tcPr>
          <w:p>
            <w:pPr>
              <w:spacing w:line="320" w:lineRule="exact"/>
              <w:ind w:firstLine="420" w:firstLineChars="200"/>
              <w:rPr>
                <w:rFonts w:hint="eastAsia"/>
                <w:lang w:val="en-US" w:eastAsia="zh-CN"/>
              </w:rPr>
            </w:pPr>
            <w:r>
              <w:rPr>
                <w:rFonts w:hint="eastAsia"/>
                <w:lang w:val="en-US" w:eastAsia="zh-CN"/>
              </w:rPr>
              <w:t>办公室</w:t>
            </w:r>
            <w:r>
              <w:rPr>
                <w:rFonts w:hint="eastAsia"/>
              </w:rPr>
              <w:t>对管理体系的过程能力进行监视和测量，通过内审对管理体系运行的符合性和有效性进行监测，结论管理体系总体运行有效。通过管理评审对管理体系的充分性、有效性和适宜性作了肯定的评价。通过目标考评，监测管理体系运行的有效性，提供了20</w:t>
            </w:r>
            <w:r>
              <w:rPr>
                <w:rFonts w:hint="eastAsia"/>
                <w:lang w:val="en-US" w:eastAsia="zh-CN"/>
              </w:rPr>
              <w:t>21</w:t>
            </w:r>
            <w:r>
              <w:rPr>
                <w:rFonts w:hint="eastAsia"/>
              </w:rPr>
              <w:t>年</w:t>
            </w:r>
            <w:r>
              <w:rPr>
                <w:rFonts w:hint="eastAsia"/>
                <w:lang w:val="en-US" w:eastAsia="zh-CN"/>
              </w:rPr>
              <w:t>一季度</w:t>
            </w:r>
            <w:r>
              <w:rPr>
                <w:rFonts w:hint="eastAsia"/>
              </w:rPr>
              <w:t>目标完成情况，公司及各部门的管理目标均能完成。</w:t>
            </w:r>
            <w:r>
              <w:rPr>
                <w:rFonts w:hint="eastAsia"/>
                <w:lang w:val="en-US" w:eastAsia="zh-CN"/>
              </w:rPr>
              <w:t xml:space="preserve">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公司月度环境绩效安全检查记录，结果符合</w:t>
            </w:r>
          </w:p>
          <w:p>
            <w:pPr>
              <w:pStyle w:val="2"/>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drawing>
                <wp:inline distT="0" distB="0" distL="114300" distR="114300">
                  <wp:extent cx="2242185" cy="1617345"/>
                  <wp:effectExtent l="0" t="0" r="13335" b="13335"/>
                  <wp:docPr id="2" name="图片 2" descr="1651737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1737794(1)"/>
                          <pic:cNvPicPr>
                            <a:picLocks noChangeAspect="1"/>
                          </pic:cNvPicPr>
                        </pic:nvPicPr>
                        <pic:blipFill>
                          <a:blip r:embed="rId8"/>
                          <a:stretch>
                            <a:fillRect/>
                          </a:stretch>
                        </pic:blipFill>
                        <pic:spPr>
                          <a:xfrm>
                            <a:off x="0" y="0"/>
                            <a:ext cx="2242185" cy="1617345"/>
                          </a:xfrm>
                          <a:prstGeom prst="rect">
                            <a:avLst/>
                          </a:prstGeom>
                        </pic:spPr>
                      </pic:pic>
                    </a:graphicData>
                  </a:graphic>
                </wp:inline>
              </w:drawing>
            </w:r>
          </w:p>
          <w:p>
            <w:pPr>
              <w:pStyle w:val="2"/>
              <w:rPr>
                <w:rFonts w:hint="default" w:cs="宋体" w:asciiTheme="minorEastAsia" w:hAnsiTheme="minorEastAsia" w:eastAsiaTheme="minorEastAsia"/>
                <w:szCs w:val="21"/>
                <w:lang w:val="en-US" w:eastAsia="zh-CN"/>
              </w:rPr>
            </w:pP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2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成文信息</w:t>
            </w:r>
          </w:p>
          <w:p>
            <w:pPr>
              <w:spacing w:line="320" w:lineRule="exact"/>
              <w:rPr>
                <w:rFonts w:cs="宋体"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QE7.5</w:t>
            </w:r>
          </w:p>
          <w:p>
            <w:pPr>
              <w:spacing w:line="320" w:lineRule="exact"/>
              <w:rPr>
                <w:rFonts w:cs="宋体" w:asciiTheme="minorEastAsia" w:hAnsiTheme="minorEastAsia" w:eastAsiaTheme="minorEastAsia"/>
                <w:color w:val="000000"/>
                <w:kern w:val="0"/>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val="en-US" w:eastAsia="zh-CN"/>
              </w:rPr>
              <w:t>制定了</w:t>
            </w:r>
            <w:r>
              <w:rPr>
                <w:rFonts w:hint="eastAsia" w:asciiTheme="minorEastAsia" w:hAnsiTheme="minorEastAsia" w:eastAsiaTheme="minorEastAsia"/>
                <w:szCs w:val="21"/>
              </w:rPr>
              <w:t>管理手册、程序文件、</w:t>
            </w:r>
            <w:r>
              <w:rPr>
                <w:rFonts w:hint="eastAsia" w:asciiTheme="minorEastAsia" w:hAnsiTheme="minorEastAsia" w:eastAsiaTheme="minorEastAsia"/>
                <w:szCs w:val="21"/>
                <w:lang w:val="en-US" w:eastAsia="zh-CN"/>
              </w:rPr>
              <w:t>管理制度</w:t>
            </w:r>
            <w:r>
              <w:rPr>
                <w:rFonts w:hint="eastAsia" w:asciiTheme="minorEastAsia" w:hAnsiTheme="minorEastAsia" w:eastAsiaTheme="minorEastAsia"/>
                <w:szCs w:val="21"/>
              </w:rPr>
              <w:t>及记录。公司编制的程序文件基本符合标准要求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所有程序文件，</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记录表单满足公司目前的质量体系运行的需要。</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查管理手册、程序文件</w:t>
            </w:r>
            <w:r>
              <w:rPr>
                <w:rFonts w:hint="eastAsia" w:cs="宋体" w:asciiTheme="minorEastAsia" w:hAnsiTheme="minorEastAsia" w:eastAsiaTheme="minorEastAsia"/>
                <w:szCs w:val="21"/>
                <w:lang w:eastAsia="zh-CN"/>
              </w:rPr>
              <w:t>20</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lang w:eastAsia="zh-CN"/>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月</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日</w:t>
            </w:r>
            <w:r>
              <w:rPr>
                <w:rFonts w:hint="eastAsia" w:cs="宋体" w:asciiTheme="minorEastAsia" w:hAnsiTheme="minorEastAsia" w:eastAsiaTheme="minorEastAsia"/>
                <w:szCs w:val="21"/>
                <w:lang w:val="en-US" w:eastAsia="zh-CN"/>
              </w:rPr>
              <w:t>实施</w:t>
            </w:r>
            <w:r>
              <w:rPr>
                <w:rFonts w:hint="eastAsia" w:asciiTheme="minorEastAsia" w:hAnsiTheme="minorEastAsia" w:eastAsiaTheme="minorEastAsia"/>
                <w:szCs w:val="21"/>
              </w:rPr>
              <w:t>有受控标识，有效版本。</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查外来文件</w:t>
            </w:r>
            <w:r>
              <w:rPr>
                <w:rFonts w:hint="eastAsia" w:asciiTheme="minorEastAsia" w:hAnsiTheme="minorEastAsia" w:eastAsiaTheme="minorEastAsia"/>
                <w:szCs w:val="21"/>
                <w:lang w:val="en-US" w:eastAsia="zh-CN"/>
              </w:rPr>
              <w:t>有</w:t>
            </w:r>
            <w:r>
              <w:rPr>
                <w:rFonts w:hint="eastAsia" w:cs="宋体" w:asciiTheme="minorEastAsia" w:hAnsiTheme="minorEastAsia" w:eastAsiaTheme="minorEastAsia"/>
                <w:szCs w:val="21"/>
                <w:lang w:val="en-US" w:eastAsia="zh-CN"/>
              </w:rPr>
              <w:t xml:space="preserve">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中华人民共和国产品质量法</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中华人民共和国民法典</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中华人民共和国政府采购法</w:t>
            </w:r>
            <w:r>
              <w:rPr>
                <w:rFonts w:hint="eastAsia" w:cs="宋体" w:asciiTheme="minorEastAsia" w:hAnsiTheme="minorEastAsia" w:eastAsiaTheme="minorEastAsia"/>
                <w:szCs w:val="21"/>
                <w:lang w:val="en-US" w:eastAsia="zh-CN"/>
              </w:rPr>
              <w:tab/>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棉服装</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GB/T 2662-2017</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职业服装通用技术规范</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GB/T 38134-2019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中小学生校服 </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GB/T 31888-2015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公路作业人员工作服</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JT/T 492-2003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矿工普通工作服</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MT/T 843-1999  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普通工作服技术要求</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DB14/T 1962-2019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学生军训服 </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DB32/T 2074-2012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床上用品</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GB/T 22796-2021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学生公寓床上用品</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DB61/T 477-2009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配套床上用品 </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             FZ/T 62010-2003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公司编制并实施了《记录管理程序》对管理体系记录的标识、贮存、保护、检索、保存期限和处置等作了明确规定，符合要求。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《记录清单》，有内审报告、供方评价表、危险源清单、环境因素清单、管理评审报告等</w:t>
            </w:r>
            <w:r>
              <w:rPr>
                <w:rFonts w:hint="eastAsia" w:asciiTheme="minorEastAsia" w:hAnsiTheme="minorEastAsia" w:eastAsiaTheme="minorEastAsia"/>
                <w:szCs w:val="21"/>
                <w:lang w:val="en-US" w:eastAsia="zh-CN"/>
              </w:rPr>
              <w:t>74项</w:t>
            </w:r>
            <w:r>
              <w:rPr>
                <w:rFonts w:hint="eastAsia" w:asciiTheme="minorEastAsia" w:hAnsiTheme="minorEastAsia" w:eastAsiaTheme="minorEastAsia"/>
                <w:szCs w:val="21"/>
              </w:rPr>
              <w:t>记录。明确了记录名称、编号、使用保存部门、保存期限等，并经审核后使用。</w:t>
            </w:r>
            <w:r>
              <w:rPr>
                <w:rFonts w:hint="eastAsia" w:asciiTheme="minorEastAsia" w:hAnsiTheme="minorEastAsia" w:eastAsiaTheme="minorEastAsia"/>
                <w:szCs w:val="21"/>
                <w:lang w:val="en-US" w:eastAsia="zh-CN"/>
              </w:rPr>
              <w:t xml:space="preserve"> 办公室</w:t>
            </w:r>
            <w:r>
              <w:rPr>
                <w:rFonts w:hint="eastAsia" w:asciiTheme="minorEastAsia" w:hAnsiTheme="minorEastAsia" w:eastAsiaTheme="minorEastAsia"/>
                <w:szCs w:val="21"/>
              </w:rPr>
              <w:t>已将文件进行了分类，按文件的名称、编号及时间装文件袋进行归档，文件较清洁，字迹清晰，检索方便，抽查有内部审核资料、管理评审资料等，均已装订成册。</w:t>
            </w:r>
          </w:p>
          <w:p>
            <w:pPr>
              <w:spacing w:line="320" w:lineRule="exact"/>
              <w:ind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rPr>
              <w:t>外来记录（如顾客投诉记录等）由相关部门负责保管、归档。</w:t>
            </w:r>
          </w:p>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公司文件</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记录控制基本有效。</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2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内部审核</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QE9.2</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hint="eastAsia"/>
                <w:lang w:val="en-US" w:eastAsia="zh-CN"/>
              </w:rPr>
            </w:pPr>
            <w:bookmarkStart w:id="0" w:name="_GoBack"/>
            <w:r>
              <w:rPr>
                <w:rFonts w:hint="eastAsia"/>
                <w:lang w:val="en-US" w:eastAsia="zh-CN"/>
              </w:rPr>
              <w:t>办公室于2022年4月8-9日</w:t>
            </w:r>
            <w:r>
              <w:rPr>
                <w:rFonts w:hint="eastAsia"/>
              </w:rPr>
              <w:t>组织</w:t>
            </w:r>
            <w:r>
              <w:rPr>
                <w:rFonts w:hint="eastAsia"/>
                <w:lang w:eastAsia="zh-CN"/>
              </w:rPr>
              <w:t>了</w:t>
            </w:r>
            <w:r>
              <w:rPr>
                <w:rFonts w:hint="eastAsia"/>
                <w:lang w:val="en-US" w:eastAsia="zh-CN"/>
              </w:rPr>
              <w:t xml:space="preserve">公司质量、环境、职业健康安全管理体系内部审核， </w:t>
            </w:r>
          </w:p>
          <w:p>
            <w:pPr>
              <w:autoSpaceDE w:val="0"/>
              <w:autoSpaceDN w:val="0"/>
              <w:adjustRightInd w:val="0"/>
              <w:spacing w:line="240" w:lineRule="atLeast"/>
              <w:ind w:firstLine="420" w:firstLineChars="200"/>
              <w:rPr>
                <w:rFonts w:hint="eastAsia"/>
                <w:lang w:val="en-US" w:eastAsia="zh-CN"/>
              </w:rPr>
            </w:pPr>
            <w:r>
              <w:rPr>
                <w:rFonts w:hint="eastAsia"/>
                <w:lang w:val="en-US" w:eastAsia="zh-CN"/>
              </w:rPr>
              <w:t>有</w:t>
            </w:r>
            <w:r>
              <w:rPr>
                <w:rFonts w:hint="eastAsia"/>
              </w:rPr>
              <w:t>年度审核计划：其内容已包括了审核目的、范围、准则、审核方法、日期</w:t>
            </w:r>
            <w:r>
              <w:rPr>
                <w:rFonts w:hint="eastAsia"/>
                <w:lang w:val="en-US" w:eastAsia="zh-CN"/>
              </w:rPr>
              <w:t>等</w:t>
            </w:r>
          </w:p>
          <w:p>
            <w:pPr>
              <w:spacing w:line="320" w:lineRule="exact"/>
              <w:ind w:firstLine="420" w:firstLineChars="200"/>
              <w:rPr>
                <w:rFonts w:hint="eastAsia"/>
              </w:rPr>
            </w:pPr>
            <w:r>
              <w:rPr>
                <w:rFonts w:hint="eastAsia"/>
              </w:rPr>
              <w:t>审核目的：验证质量、环境、职业健康安全管理体系对标准的符合性及实施的有效性和充分性，持续改进管理体系。</w:t>
            </w:r>
          </w:p>
          <w:p>
            <w:pPr>
              <w:spacing w:line="320" w:lineRule="exact"/>
              <w:ind w:left="420" w:leftChars="200" w:firstLine="0" w:firstLineChars="0"/>
              <w:rPr>
                <w:rFonts w:hint="eastAsia" w:eastAsia="宋体"/>
                <w:lang w:val="en-US" w:eastAsia="zh-CN"/>
              </w:rPr>
            </w:pPr>
            <w:r>
              <w:rPr>
                <w:rFonts w:hint="eastAsia"/>
              </w:rPr>
              <w:t>审核依据：GB/T19001-2016、GB/T24001-2016、GB/T45001-2020的标准、体系文件、顾客要求、相关法律法规等。内部</w:t>
            </w:r>
            <w:r>
              <w:rPr>
                <w:rFonts w:hint="eastAsia"/>
                <w:lang w:val="en-US" w:eastAsia="zh-CN"/>
              </w:rPr>
              <w:t xml:space="preserve"> </w:t>
            </w:r>
          </w:p>
          <w:p>
            <w:pPr>
              <w:spacing w:line="320" w:lineRule="exact"/>
              <w:ind w:firstLine="420" w:firstLineChars="200"/>
            </w:pPr>
            <w:r>
              <w:rPr>
                <w:rFonts w:hint="eastAsia"/>
                <w:lang w:val="en-US" w:eastAsia="zh-CN"/>
              </w:rPr>
              <w:t xml:space="preserve"> </w:t>
            </w:r>
            <w:r>
              <w:rPr>
                <w:rFonts w:hint="eastAsia"/>
                <w:szCs w:val="22"/>
              </w:rPr>
              <w:t>本次内审发现1个一般不符合项</w:t>
            </w:r>
            <w:r>
              <w:rPr>
                <w:rFonts w:hint="eastAsia"/>
                <w:szCs w:val="22"/>
                <w:lang w:eastAsia="zh-CN"/>
              </w:rPr>
              <w:t>：</w:t>
            </w:r>
            <w:r>
              <w:rPr>
                <w:rFonts w:hint="eastAsia"/>
                <w:szCs w:val="22"/>
                <w:lang w:val="en-US" w:eastAsia="zh-CN"/>
              </w:rPr>
              <w:t>办公室“查办公区运行环境，未设置分类垃圾桶”</w:t>
            </w:r>
            <w:r>
              <w:rPr>
                <w:rFonts w:hint="eastAsia"/>
                <w:szCs w:val="22"/>
              </w:rPr>
              <w:t>。责任</w:t>
            </w:r>
            <w:r>
              <w:rPr>
                <w:rFonts w:hint="eastAsia"/>
              </w:rPr>
              <w:t>部门已分析了原因并采取了纠正措施，按要求进行了整改，最后内审员进行了验证，纠正措施实施有效。</w:t>
            </w:r>
          </w:p>
          <w:p>
            <w:pPr>
              <w:spacing w:line="320" w:lineRule="exact"/>
              <w:ind w:left="420" w:leftChars="200" w:firstLine="0" w:firstLineChars="0"/>
              <w:rPr>
                <w:rFonts w:hint="eastAsia"/>
                <w:szCs w:val="22"/>
              </w:rPr>
            </w:pPr>
            <w:r>
              <w:rPr>
                <w:rFonts w:hint="eastAsia"/>
                <w:szCs w:val="22"/>
                <w:lang w:val="en-US" w:eastAsia="zh-CN"/>
              </w:rPr>
              <w:t>有</w:t>
            </w:r>
            <w:r>
              <w:rPr>
                <w:rFonts w:hint="eastAsia"/>
                <w:szCs w:val="22"/>
              </w:rPr>
              <w:t>《内部审核报告》</w:t>
            </w:r>
            <w:r>
              <w:rPr>
                <w:rFonts w:hint="eastAsia"/>
                <w:szCs w:val="22"/>
                <w:lang w:eastAsia="zh-CN"/>
              </w:rPr>
              <w:t>，</w:t>
            </w:r>
            <w:r>
              <w:rPr>
                <w:rFonts w:hint="eastAsia"/>
                <w:szCs w:val="22"/>
              </w:rPr>
              <w:t>内部审核结论：，通过本次审核，各部门负责人及员工增强了质量和安全意识，提高了质量和安全方面的控制能力，审核组认为本公司建立的管理体系基本符合和GB/T19001-2016标准、GB/T24001-2016标准和</w:t>
            </w:r>
            <w:r>
              <w:rPr>
                <w:rFonts w:hint="eastAsia"/>
                <w:szCs w:val="22"/>
                <w:lang w:eastAsia="zh-CN"/>
              </w:rPr>
              <w:t>GB/T45001-2020</w:t>
            </w:r>
            <w:r>
              <w:rPr>
                <w:rFonts w:hint="eastAsia"/>
                <w:szCs w:val="22"/>
              </w:rPr>
              <w:t>标准的要求，且运行有效。</w:t>
            </w:r>
          </w:p>
          <w:p>
            <w:pPr>
              <w:spacing w:line="320" w:lineRule="exact"/>
              <w:ind w:left="420" w:leftChars="200" w:firstLine="0" w:firstLineChars="0"/>
              <w:rPr>
                <w:rFonts w:hint="eastAsia"/>
                <w:szCs w:val="22"/>
              </w:rPr>
            </w:pPr>
            <w:r>
              <w:rPr>
                <w:rFonts w:hint="eastAsia"/>
                <w:szCs w:val="22"/>
              </w:rPr>
              <w:t>⑵ 针对内审时出具的1项不符合项报告，各部门要认真分析原因，举一反三，在5个工作日内，采取有效的纠正措施，由内审员跟踪验证其实施效果。</w:t>
            </w:r>
          </w:p>
          <w:p>
            <w:pPr>
              <w:spacing w:line="320" w:lineRule="exact"/>
              <w:ind w:left="420" w:leftChars="200" w:firstLine="0" w:firstLineChars="0"/>
              <w:rPr>
                <w:rFonts w:hint="default" w:eastAsia="宋体"/>
                <w:szCs w:val="22"/>
                <w:lang w:val="en-US" w:eastAsia="zh-CN"/>
              </w:rPr>
            </w:pPr>
            <w:r>
              <w:rPr>
                <w:rFonts w:hint="eastAsia"/>
                <w:szCs w:val="22"/>
                <w:lang w:val="en-US" w:eastAsia="zh-CN"/>
              </w:rPr>
              <w:t>有李俊忙2022.4.10培训记录。</w:t>
            </w:r>
          </w:p>
          <w:p>
            <w:pPr>
              <w:spacing w:line="320" w:lineRule="exact"/>
              <w:ind w:firstLine="420" w:firstLineChars="200"/>
              <w:rPr>
                <w:rFonts w:hint="default"/>
                <w:lang w:val="en-US" w:eastAsia="zh-CN"/>
              </w:rPr>
            </w:pPr>
            <w:r>
              <w:rPr>
                <w:rFonts w:hint="eastAsia"/>
                <w:lang w:val="en-US" w:eastAsia="zh-CN"/>
              </w:rPr>
              <w:t>内审基本符合。</w:t>
            </w:r>
            <w:bookmarkEnd w:id="0"/>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0" w:type="dxa"/>
          </w:tcPr>
          <w:p>
            <w:pPr>
              <w:adjustRightInd w:val="0"/>
              <w:snapToGrid w:val="0"/>
              <w:spacing w:line="320" w:lineRule="exact"/>
              <w:rPr>
                <w:rFonts w:asciiTheme="minorEastAsia" w:hAnsiTheme="minorEastAsia" w:eastAsiaTheme="minorEastAsia"/>
                <w:spacing w:val="-12"/>
                <w:szCs w:val="21"/>
              </w:rPr>
            </w:pPr>
            <w:r>
              <w:rPr>
                <w:rFonts w:hint="eastAsia" w:asciiTheme="minorEastAsia" w:hAnsiTheme="minorEastAsia" w:eastAsiaTheme="minorEastAsia"/>
                <w:spacing w:val="-12"/>
                <w:szCs w:val="21"/>
              </w:rPr>
              <w:t>不合格和纠正措施</w:t>
            </w:r>
          </w:p>
          <w:p>
            <w:pPr>
              <w:spacing w:line="320" w:lineRule="exact"/>
              <w:rPr>
                <w:rFonts w:cs="宋体" w:asciiTheme="minorEastAsia" w:hAnsiTheme="minorEastAsia" w:eastAsiaTheme="minorEastAsia"/>
                <w:szCs w:val="21"/>
              </w:rPr>
            </w:pPr>
          </w:p>
        </w:tc>
        <w:tc>
          <w:tcPr>
            <w:tcW w:w="885"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QE10.2</w:t>
            </w:r>
          </w:p>
          <w:p>
            <w:pPr>
              <w:spacing w:line="320" w:lineRule="exact"/>
              <w:rPr>
                <w:rFonts w:cs="宋体" w:asciiTheme="minorEastAsia" w:hAnsiTheme="minorEastAsia" w:eastAsiaTheme="minorEastAsia"/>
                <w:szCs w:val="21"/>
              </w:rPr>
            </w:pPr>
          </w:p>
        </w:tc>
        <w:tc>
          <w:tcPr>
            <w:tcW w:w="11653" w:type="dxa"/>
            <w:vAlign w:val="center"/>
          </w:tcPr>
          <w:p>
            <w:pPr>
              <w:snapToGrid w:val="0"/>
              <w:spacing w:line="320" w:lineRule="exact"/>
              <w:ind w:firstLine="420" w:firstLineChars="20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内审问题进行了原因分析，制定纠正措施，整改并验证。</w:t>
            </w:r>
          </w:p>
          <w:p>
            <w:pPr>
              <w:snapToGrid w:val="0"/>
              <w:spacing w:line="32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szCs w:val="21"/>
              </w:rPr>
              <w:t>公司对纠正及预防措施的管理基本符合要求。</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20" w:type="dxa"/>
            <w:vAlign w:val="center"/>
          </w:tcPr>
          <w:p>
            <w:pPr>
              <w:spacing w:line="320" w:lineRule="exact"/>
              <w:rPr>
                <w:rFonts w:hint="eastAsia"/>
              </w:rPr>
            </w:pPr>
            <w:r>
              <w:rPr>
                <w:rFonts w:hint="eastAsia"/>
              </w:rPr>
              <w:t>环境因素/危险源</w:t>
            </w:r>
          </w:p>
          <w:p>
            <w:pPr>
              <w:pStyle w:val="2"/>
              <w:ind w:left="0" w:leftChars="0" w:firstLine="0" w:firstLineChars="0"/>
              <w:jc w:val="left"/>
            </w:pPr>
            <w:r>
              <w:rPr>
                <w:rFonts w:hint="eastAsia" w:cs="楷体" w:asciiTheme="minorEastAsia" w:hAnsiTheme="minorEastAsia" w:eastAsiaTheme="minorEastAsia"/>
                <w:szCs w:val="21"/>
              </w:rPr>
              <w:t>措施的策划</w:t>
            </w:r>
          </w:p>
        </w:tc>
        <w:tc>
          <w:tcPr>
            <w:tcW w:w="885" w:type="dxa"/>
          </w:tcPr>
          <w:p>
            <w:pPr>
              <w:spacing w:line="320" w:lineRule="exact"/>
              <w:rPr>
                <w:rFonts w:hint="eastAsia" w:cs="Arial"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E6.1.2</w:t>
            </w:r>
          </w:p>
          <w:p>
            <w:pPr>
              <w:spacing w:line="320" w:lineRule="exact"/>
              <w:rPr>
                <w:rFonts w:hint="default" w:cs="Arial" w:asciiTheme="minorEastAsia" w:hAnsiTheme="minorEastAsia" w:eastAsiaTheme="minorEastAsia"/>
                <w:color w:val="000000" w:themeColor="text1"/>
                <w:szCs w:val="21"/>
                <w:lang w:val="en-US" w:eastAsia="zh-CN"/>
              </w:rPr>
            </w:pPr>
            <w:r>
              <w:rPr>
                <w:rFonts w:hint="eastAsia" w:cs="Arial" w:asciiTheme="minorEastAsia" w:hAnsiTheme="minorEastAsia" w:eastAsiaTheme="minorEastAsia"/>
                <w:color w:val="000000" w:themeColor="text1"/>
                <w:szCs w:val="21"/>
                <w:lang w:val="en-US" w:eastAsia="zh-CN"/>
              </w:rPr>
              <w:t>6.1.4</w:t>
            </w:r>
          </w:p>
          <w:p>
            <w:pPr>
              <w:spacing w:line="320" w:lineRule="exact"/>
              <w:rPr>
                <w:rFonts w:cs="Arial" w:asciiTheme="minorEastAsia" w:hAnsiTheme="minorEastAsia" w:eastAsiaTheme="minorEastAsia"/>
                <w:szCs w:val="21"/>
              </w:rPr>
            </w:pPr>
          </w:p>
        </w:tc>
        <w:tc>
          <w:tcPr>
            <w:tcW w:w="1165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查“环境因素辨识和评价表”，相关方、办公过程、库房管理及储存过程、采购验收过程复印机打印机废墨盒处置污染环境、</w:t>
            </w:r>
            <w:r>
              <w:rPr>
                <w:rFonts w:hint="eastAsia"/>
              </w:rPr>
              <w:t>产品交付过程</w:t>
            </w:r>
            <w:r>
              <w:rPr>
                <w:rFonts w:hint="eastAsia"/>
                <w:lang w:val="en-US" w:eastAsia="zh-CN"/>
              </w:rPr>
              <w:t>等90项进行了辨识和评价；考虑了生命周期观点。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采取打分法评价，查到“重要环境因素清单”，经评价供销部的重要环境因素为办公固废、潜在火灾。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查“危害辨识、风险评价、风险控制工作表”，辨识和评价了办公活动过程中的危险源，主要包括火灾、  交通意外伤害、触电、划伤等51项。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对识别出的危险源采取D=LEC进行评价，查到“不可接受风险清单”，经评价采购部的重大危险源有潜在触电、火灾事故、病毒感染。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策划了控制措施，制订了“环境安全管理方案”，明确了控制措施、时间要求、责任部门、责任和资源计划。</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制定了《法律、法规和其他要求识别管理程序》、《合规性评价程序》、《绩效测量和监视程序》，每年对公司适用的合规义务进行识别更新并定期评价、检查。</w:t>
            </w:r>
          </w:p>
          <w:p>
            <w:pPr>
              <w:spacing w:line="320" w:lineRule="exact"/>
              <w:ind w:firstLine="315" w:firstLineChars="150"/>
              <w:rPr>
                <w:rFonts w:hint="default" w:cs="楷体" w:asciiTheme="minorEastAsia" w:hAnsiTheme="minorEastAsia" w:eastAsiaTheme="minorEastAsia"/>
                <w:szCs w:val="21"/>
                <w:lang w:val="en-US"/>
              </w:rPr>
            </w:pPr>
            <w:r>
              <w:rPr>
                <w:rFonts w:hint="eastAsia" w:cs="楷体" w:asciiTheme="minorEastAsia" w:hAnsiTheme="minorEastAsia" w:eastAsiaTheme="minorEastAsia"/>
                <w:szCs w:val="21"/>
              </w:rPr>
              <w:t>经组织评价，组织策划的措施基本能够满足风险和机遇应对需要，能够与识别的风险和机遇对产品符合性的潜在影响相适应，识别出不可接受风险为：潜在火灾、爆炸、触电并制定了相应的措施</w:t>
            </w:r>
            <w:r>
              <w:rPr>
                <w:rFonts w:hint="eastAsia" w:cs="楷体" w:asciiTheme="minorEastAsia" w:hAnsiTheme="minorEastAsia" w:eastAsiaTheme="minorEastAsia"/>
                <w:szCs w:val="21"/>
                <w:lang w:val="en-US" w:eastAsia="zh-CN"/>
              </w:rPr>
              <w:t xml:space="preserve"> </w:t>
            </w:r>
            <w:r>
              <w:rPr>
                <w:rFonts w:hint="eastAsia" w:cs="楷体" w:asciiTheme="minorEastAsia" w:hAnsiTheme="minorEastAsia" w:eastAsiaTheme="minorEastAsia"/>
                <w:szCs w:val="21"/>
              </w:rPr>
              <w:t>，该过程的控制基本满足标准要求。</w:t>
            </w:r>
            <w:r>
              <w:rPr>
                <w:rFonts w:hint="eastAsia"/>
                <w:color w:val="auto"/>
                <w:lang w:val="en-US" w:eastAsia="zh-CN"/>
              </w:rPr>
              <w:t xml:space="preserve">  </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0" w:type="dxa"/>
            <w:vAlign w:val="center"/>
          </w:tcPr>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合规义务</w:t>
            </w:r>
            <w:r>
              <w:rPr>
                <w:rFonts w:hint="eastAsia" w:cs="楷体" w:asciiTheme="minorEastAsia" w:hAnsiTheme="minorEastAsia" w:eastAsiaTheme="minorEastAsia"/>
                <w:color w:val="auto"/>
                <w:szCs w:val="21"/>
                <w:lang w:val="en-US" w:eastAsia="zh-CN"/>
              </w:rPr>
              <w:t>合规评价</w:t>
            </w:r>
          </w:p>
        </w:tc>
        <w:tc>
          <w:tcPr>
            <w:tcW w:w="885" w:type="dxa"/>
          </w:tcPr>
          <w:p>
            <w:pPr>
              <w:spacing w:line="320" w:lineRule="exact"/>
              <w:rPr>
                <w:rFonts w:cs="楷体" w:asciiTheme="minorEastAsia" w:hAnsiTheme="minorEastAsia" w:eastAsiaTheme="minorEastAsia"/>
                <w:bCs/>
                <w:color w:val="auto"/>
                <w:szCs w:val="21"/>
              </w:rPr>
            </w:pPr>
            <w:r>
              <w:rPr>
                <w:rFonts w:hint="eastAsia" w:cs="楷体" w:asciiTheme="minorEastAsia" w:hAnsiTheme="minorEastAsia" w:eastAsiaTheme="minorEastAsia"/>
                <w:bCs/>
                <w:color w:val="auto"/>
                <w:szCs w:val="21"/>
              </w:rPr>
              <w:t>E：</w:t>
            </w:r>
            <w:r>
              <w:rPr>
                <w:rFonts w:hint="eastAsia" w:cs="Arial" w:asciiTheme="minorEastAsia" w:hAnsiTheme="minorEastAsia" w:eastAsiaTheme="minorEastAsia"/>
                <w:color w:val="auto"/>
                <w:szCs w:val="21"/>
              </w:rPr>
              <w:t>6.1.3</w:t>
            </w:r>
          </w:p>
          <w:p>
            <w:pPr>
              <w:spacing w:line="320" w:lineRule="exact"/>
              <w:rPr>
                <w:rFonts w:cs="楷体" w:asciiTheme="minorEastAsia" w:hAnsiTheme="minorEastAsia" w:eastAsiaTheme="minorEastAsia"/>
                <w:bCs/>
                <w:color w:val="auto"/>
                <w:szCs w:val="21"/>
              </w:rPr>
            </w:pPr>
            <w:r>
              <w:rPr>
                <w:rFonts w:hint="eastAsia" w:cs="楷体" w:asciiTheme="minorEastAsia" w:hAnsiTheme="minorEastAsia" w:eastAsiaTheme="minorEastAsia"/>
                <w:color w:val="auto"/>
                <w:szCs w:val="21"/>
                <w:lang w:val="en-US" w:eastAsia="zh-CN"/>
              </w:rPr>
              <w:t xml:space="preserve">9.1.2 </w:t>
            </w:r>
          </w:p>
        </w:tc>
        <w:tc>
          <w:tcPr>
            <w:tcW w:w="11653" w:type="dxa"/>
            <w:vAlign w:val="center"/>
          </w:tcPr>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提供有合规义务控制程序</w:t>
            </w:r>
            <w:r>
              <w:rPr>
                <w:rFonts w:hint="eastAsia" w:cs="楷体" w:asciiTheme="minorEastAsia" w:hAnsiTheme="minorEastAsia" w:eastAsiaTheme="minorEastAsia"/>
                <w:color w:val="auto"/>
                <w:szCs w:val="21"/>
                <w:lang w:val="en-US" w:eastAsia="zh-CN"/>
              </w:rPr>
              <w:tab/>
            </w:r>
            <w:r>
              <w:rPr>
                <w:rFonts w:hint="eastAsia" w:cs="楷体" w:asciiTheme="minorEastAsia" w:hAnsiTheme="minorEastAsia" w:eastAsiaTheme="minorEastAsia"/>
                <w:color w:val="auto"/>
                <w:szCs w:val="21"/>
                <w:lang w:val="en-US" w:eastAsia="zh-CN"/>
              </w:rPr>
              <w:t>CX-05、合规性评价控制程序</w:t>
            </w:r>
            <w:r>
              <w:rPr>
                <w:rFonts w:hint="eastAsia" w:cs="楷体" w:asciiTheme="minorEastAsia" w:hAnsiTheme="minorEastAsia" w:eastAsiaTheme="minorEastAsia"/>
                <w:color w:val="auto"/>
                <w:szCs w:val="21"/>
                <w:lang w:val="en-US" w:eastAsia="zh-CN"/>
              </w:rPr>
              <w:tab/>
            </w:r>
            <w:r>
              <w:rPr>
                <w:rFonts w:hint="eastAsia" w:cs="楷体" w:asciiTheme="minorEastAsia" w:hAnsiTheme="minorEastAsia" w:eastAsiaTheme="minorEastAsia"/>
                <w:color w:val="auto"/>
                <w:szCs w:val="21"/>
                <w:lang w:val="en-US" w:eastAsia="zh-CN"/>
              </w:rPr>
              <w:t>CX-06，对合规义务管控的职责、识别范围、获取的方法与渠道、法律法规传达、评审和确认等做出了规定。提供有《法律法规和其他要求清单》 。</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环境管理体系方面：针对污水排放、噪声排放、废气排放、固废、危废的贮存/排放/使用、火灾、产品自身污染、节能降耗等环境因素识别了包括</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《中华人民共和国环境保护法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中华人民共和国固体废物污染环境防治法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中华人民共和国大气污染防治法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中华人民共和国水污染防治法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中华人民共和国环境影响评价法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中华人民共和国环境噪声污染防治法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中华人民共和国清洁生产促进法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河北省大气污染防治条例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河北省固体废物污染环境防治条例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河北省环境污染防治监督管理办法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河北省节约能源条例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河北省水污染防治条例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河北省城市节约用水管理实施办法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河北省消防条例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河北省建设项目环境保护管理条例等共计29条与环境相关的企业适用法律法规及其他要求，并识别到了对应法规中适用的章节和/或条款。职业健康与安全方面：中华人民共和国劳动合同法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中华人民共和国职业病防治法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中华人民共和国妇女权益保障法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中华人民共和国安全生产法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劳动保障监察条例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女职工劳动保护特别规定</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作业场所职业健康管理暂行规定</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企业职工伤亡事故调查分析规则</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女职工禁忌劳动范围的规定</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工作场所有害因素职业接触限值</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中华人民共和国妇女权益保障法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中华人民共和国未成年人保护法</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新工伤保险条例</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职业安全和卫生及工作环境公约</w:t>
            </w:r>
          </w:p>
          <w:p>
            <w:pPr>
              <w:spacing w:line="320" w:lineRule="exact"/>
              <w:ind w:firstLine="420" w:firstLineChars="200"/>
              <w:rPr>
                <w:rFonts w:hint="eastAsia"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中华人民共和国未成年人保护法等共计25条适用的法律法规。</w:t>
            </w:r>
          </w:p>
          <w:p>
            <w:pPr>
              <w:spacing w:line="320" w:lineRule="exact"/>
              <w:ind w:firstLine="420" w:firstLineChars="200"/>
              <w:rPr>
                <w:rFonts w:hint="eastAsia" w:cs="楷体" w:asciiTheme="minorEastAsia" w:hAnsiTheme="minorEastAsia" w:eastAsiaTheme="minorEastAsia"/>
                <w:color w:val="auto"/>
                <w:szCs w:val="21"/>
                <w:lang w:eastAsia="zh-CN"/>
              </w:rPr>
            </w:pPr>
            <w:r>
              <w:rPr>
                <w:rFonts w:hint="eastAsia" w:cs="楷体" w:asciiTheme="minorEastAsia" w:hAnsiTheme="minorEastAsia" w:eastAsiaTheme="minorEastAsia"/>
                <w:color w:val="auto"/>
                <w:szCs w:val="21"/>
                <w:lang w:val="en-US" w:eastAsia="zh-CN"/>
              </w:rPr>
              <w:t xml:space="preserve">企业于2022年3月20日进行了合规性评价，提供有《2022年度合规性评价记录表》，对识别的各项法律法规进行了逐一评价，结论为合规。企业合规义务管控基本符合要求。  </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0" w:type="dxa"/>
            <w:vAlign w:val="center"/>
          </w:tcPr>
          <w:p>
            <w:pPr>
              <w:spacing w:line="320" w:lineRule="exact"/>
              <w:rPr>
                <w:rFonts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运行控制</w:t>
            </w:r>
          </w:p>
        </w:tc>
        <w:tc>
          <w:tcPr>
            <w:tcW w:w="885" w:type="dxa"/>
          </w:tcPr>
          <w:p>
            <w:pPr>
              <w:spacing w:line="320" w:lineRule="exact"/>
              <w:rPr>
                <w:rFonts w:hint="eastAsia" w:cs="Arial" w:asciiTheme="minorEastAsia" w:hAnsiTheme="minorEastAsia" w:eastAsiaTheme="minorEastAsia"/>
                <w:color w:val="000000" w:themeColor="text1"/>
                <w:szCs w:val="21"/>
                <w:lang w:eastAsia="zh-CN"/>
              </w:rPr>
            </w:pPr>
            <w:r>
              <w:rPr>
                <w:rFonts w:hint="eastAsia" w:cs="Arial" w:asciiTheme="minorEastAsia" w:hAnsiTheme="minorEastAsia" w:eastAsiaTheme="minorEastAsia"/>
                <w:color w:val="000000" w:themeColor="text1"/>
                <w:szCs w:val="21"/>
              </w:rPr>
              <w:t xml:space="preserve">E8.1 </w:t>
            </w:r>
            <w:r>
              <w:rPr>
                <w:rFonts w:hint="eastAsia" w:cs="Arial" w:asciiTheme="minorEastAsia" w:hAnsiTheme="minorEastAsia" w:eastAsiaTheme="minorEastAsia"/>
                <w:color w:val="000000" w:themeColor="text1"/>
                <w:szCs w:val="21"/>
                <w:lang w:val="en-US" w:eastAsia="zh-CN"/>
              </w:rPr>
              <w:t xml:space="preserve"> </w:t>
            </w:r>
          </w:p>
        </w:tc>
        <w:tc>
          <w:tcPr>
            <w:tcW w:w="1165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2"/>
                <w:highlight w:val="none"/>
                <w:lang w:val="en-US" w:eastAsia="zh-CN"/>
              </w:rPr>
            </w:pPr>
            <w:r>
              <w:rPr>
                <w:rFonts w:hint="eastAsia" w:eastAsia="宋体"/>
                <w:color w:val="auto"/>
                <w:szCs w:val="22"/>
                <w:highlight w:val="none"/>
                <w:lang w:val="en-US" w:eastAsia="zh-CN"/>
              </w:rPr>
              <w:t>公司策划了环境安全管理相关程序文件和管理制度：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u w:val="none"/>
                <w:lang w:val="en-US" w:eastAsia="zh-CN"/>
              </w:rPr>
            </w:pPr>
            <w:r>
              <w:rPr>
                <w:rFonts w:hint="eastAsia" w:eastAsia="宋体"/>
                <w:color w:val="auto"/>
                <w:szCs w:val="22"/>
                <w:highlight w:val="none"/>
                <w:lang w:val="en-US" w:eastAsia="zh-CN"/>
              </w:rPr>
              <w:t>环境因素识别与评价控制程序、危险源辨识、风险评价和风险控制程序、销售服务提供控制程序、环境、职业健康安全运行控制程序、环境、安全不符合控制程序、</w:t>
            </w:r>
            <w:r>
              <w:rPr>
                <w:rFonts w:hint="eastAsia"/>
                <w:u w:val="none"/>
                <w:lang w:val="en-US" w:eastAsia="zh-CN"/>
              </w:rPr>
              <w:t>公司环境分析控制程序、管理评审控制程序、采购控制程序、应急准备和响应控制程序</w:t>
            </w:r>
            <w:r>
              <w:rPr>
                <w:rFonts w:hint="eastAsia" w:eastAsia="宋体"/>
                <w:color w:val="auto"/>
                <w:szCs w:val="22"/>
                <w:highlight w:val="none"/>
                <w:lang w:val="en-US" w:eastAsia="zh-CN"/>
              </w:rPr>
              <w:t>、销售服务提供控制程序</w:t>
            </w:r>
            <w:r>
              <w:rPr>
                <w:rFonts w:hint="eastAsia"/>
                <w:u w:val="none"/>
                <w:lang w:val="en-US" w:eastAsia="zh-CN"/>
              </w:rPr>
              <w:t>等23项；</w:t>
            </w:r>
          </w:p>
          <w:p>
            <w:pPr>
              <w:pStyle w:val="9"/>
              <w:rPr>
                <w:rFonts w:hint="default" w:ascii="Times New Roman" w:hAnsi="Times New Roman"/>
                <w:sz w:val="21"/>
                <w:u w:val="none"/>
                <w:lang w:val="en-US" w:eastAsia="zh-CN"/>
              </w:rPr>
            </w:pP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"_Toc309132653"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 管理制度：目标、指标分解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"_Toc309132654"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岗位人员任职要求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"_Toc309132656"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消防安全管理制度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"_Toc309132657"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环境管理制度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"_Toc309132658"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办公室环保制度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"_Toc309132661"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相关方管理制度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"_Toc309132662"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 劳动保护及防护用品管理制度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"_Toc309132664"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废弃物处置管理办法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"_Toc309132666"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节能降耗控制办法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fldChar w:fldCharType="begin"/>
            </w:r>
            <w:r>
              <w:rPr>
                <w:rFonts w:hint="eastAsia" w:ascii="Times New Roman" w:hAnsi="Times New Roman" w:eastAsia="宋体" w:cs="Times New Roman"/>
                <w:color w:val="auto"/>
                <w:kern w:val="2"/>
                <w:sz w:val="21"/>
                <w:szCs w:val="22"/>
                <w:highlight w:val="none"/>
                <w:lang w:val="en-US" w:eastAsia="zh-CN" w:bidi="ar-SA"/>
              </w:rPr>
              <w:instrText xml:space="preserve"> HYPERLINK \l "_Toc309132668" </w:instrText>
            </w:r>
            <w:r>
              <w:rPr>
                <w:rFonts w:hint="eastAsia" w:ascii="Times New Roman" w:hAnsi="Times New Roman" w:eastAsia="宋体" w:cs="Times New Roman"/>
                <w:color w:val="auto"/>
                <w:kern w:val="2"/>
                <w:sz w:val="21"/>
                <w:szCs w:val="22"/>
                <w:highlight w:val="none"/>
                <w:lang w:val="en-US" w:eastAsia="zh-CN" w:bidi="ar-SA"/>
              </w:rPr>
              <w:fldChar w:fldCharType="separate"/>
            </w:r>
            <w:r>
              <w:rPr>
                <w:rFonts w:hint="eastAsia" w:ascii="Times New Roman" w:hAnsi="Times New Roman" w:eastAsia="宋体" w:cs="Times New Roman"/>
                <w:color w:val="auto"/>
                <w:kern w:val="2"/>
                <w:sz w:val="21"/>
                <w:szCs w:val="22"/>
                <w:highlight w:val="none"/>
                <w:lang w:val="en-US" w:eastAsia="zh-CN" w:bidi="ar-SA"/>
              </w:rPr>
              <w:t xml:space="preserve">噪声排放控制管理办法 </w:t>
            </w:r>
            <w:r>
              <w:rPr>
                <w:rFonts w:hint="eastAsia" w:ascii="Times New Roman" w:hAnsi="Times New Roman" w:eastAsia="宋体" w:cs="Times New Roman"/>
                <w:color w:val="auto"/>
                <w:kern w:val="2"/>
                <w:sz w:val="21"/>
                <w:szCs w:val="22"/>
                <w:highlight w:val="none"/>
                <w:lang w:val="en-US" w:eastAsia="zh-CN" w:bidi="ar-SA"/>
              </w:rPr>
              <w:fldChar w:fldCharType="end"/>
            </w:r>
            <w:r>
              <w:rPr>
                <w:rFonts w:hint="eastAsia" w:ascii="Times New Roman" w:hAnsi="Times New Roman" w:eastAsia="宋体" w:cs="Times New Roman"/>
                <w:color w:val="auto"/>
                <w:kern w:val="2"/>
                <w:sz w:val="21"/>
                <w:szCs w:val="22"/>
                <w:highlight w:val="none"/>
                <w:lang w:val="en-US" w:eastAsia="zh-CN" w:bidi="ar-SA"/>
              </w:rPr>
              <w:t>等17项。</w:t>
            </w:r>
          </w:p>
          <w:p>
            <w:pPr>
              <w:pStyle w:val="9"/>
              <w:rPr>
                <w:rFonts w:hint="default" w:ascii="Times New Roman" w:hAnsi="Times New Roman" w:eastAsia="宋体" w:cs="Times New Roman"/>
                <w:color w:val="auto"/>
                <w:kern w:val="2"/>
                <w:sz w:val="21"/>
                <w:szCs w:val="22"/>
                <w:highlight w:val="none"/>
                <w:lang w:val="en-US" w:eastAsia="zh-CN" w:bidi="ar-SA"/>
              </w:rPr>
            </w:pPr>
            <w:r>
              <w:rPr>
                <w:rFonts w:hint="eastAsia"/>
                <w:u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查见配置有灭火器、消防栓，状态良好，保留检查记录；监控摄像头运行正常；应急疏散指示符合要求；不定期的对员工进行交通安全教育；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rFonts w:hint="eastAsia"/>
                <w:u w:val="none"/>
                <w:lang w:val="en-US" w:eastAsia="zh-CN"/>
              </w:rPr>
              <w:t>生活废水经市政管网排放；无工业废水；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rFonts w:hint="eastAsia"/>
                <w:u w:val="none"/>
                <w:lang w:val="en-US" w:eastAsia="zh-CN"/>
              </w:rPr>
              <w:t>办公环境良好；办公用墨盒硒鼓等危废以旧换新。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none"/>
                <w:lang w:val="en-US" w:eastAsia="zh-CN"/>
              </w:rPr>
            </w:pPr>
            <w:r>
              <w:rPr>
                <w:rFonts w:hint="eastAsia"/>
                <w:u w:val="none"/>
                <w:lang w:val="en-US" w:eastAsia="zh-CN"/>
              </w:rPr>
              <w:t>对部门员工进行了不定期的交通安全宣传；</w:t>
            </w:r>
          </w:p>
          <w:p>
            <w:pPr>
              <w:adjustRightInd w:val="0"/>
              <w:snapToGrid w:val="0"/>
              <w:spacing w:line="360" w:lineRule="auto"/>
              <w:ind w:right="105" w:rightChars="50" w:firstLine="420" w:firstLineChars="200"/>
              <w:textAlignment w:val="baseline"/>
              <w:rPr>
                <w:rFonts w:cs="楷体" w:asciiTheme="minorEastAsia" w:hAnsiTheme="minorEastAsia" w:eastAsiaTheme="minorEastAsia"/>
                <w:szCs w:val="21"/>
              </w:rPr>
            </w:pPr>
            <w:r>
              <w:rPr>
                <w:rFonts w:hint="eastAsia"/>
                <w:u w:val="none"/>
                <w:lang w:val="en-US" w:eastAsia="zh-CN"/>
              </w:rPr>
              <w:t>查见“</w:t>
            </w:r>
            <w:r>
              <w:rPr>
                <w:rFonts w:hint="default"/>
                <w:u w:val="none"/>
                <w:lang w:val="en-US" w:eastAsia="zh-CN"/>
              </w:rPr>
              <w:t>相关方告知书</w:t>
            </w:r>
            <w:r>
              <w:rPr>
                <w:rFonts w:hint="eastAsia"/>
                <w:u w:val="none"/>
                <w:lang w:val="en-US" w:eastAsia="zh-CN"/>
              </w:rPr>
              <w:t>”，有效文件，对客户和相关方</w:t>
            </w:r>
            <w:r>
              <w:rPr>
                <w:rFonts w:hint="eastAsia" w:ascii="宋体" w:hAnsi="宋体" w:cs="Arial"/>
                <w:color w:val="auto"/>
                <w:spacing w:val="-6"/>
                <w:sz w:val="21"/>
                <w:szCs w:val="21"/>
                <w:highlight w:val="none"/>
                <w:lang w:val="en-US" w:eastAsia="zh-CN"/>
              </w:rPr>
              <w:t>饶阳县鸿达服装厂、顺丰快递河北衡水饶阳县网点,</w:t>
            </w:r>
            <w:r>
              <w:rPr>
                <w:rFonts w:hint="eastAsia"/>
                <w:u w:val="none"/>
                <w:lang w:val="en-US" w:eastAsia="zh-CN"/>
              </w:rPr>
              <w:t>进行了环境和职业健康安全有关事项的沟通。</w:t>
            </w:r>
          </w:p>
        </w:tc>
        <w:tc>
          <w:tcPr>
            <w:tcW w:w="851" w:type="dxa"/>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20" w:type="dxa"/>
            <w:vAlign w:val="center"/>
          </w:tcPr>
          <w:p>
            <w:pPr>
              <w:spacing w:line="320" w:lineRule="exact"/>
              <w:rPr>
                <w:rFonts w:cs="Arial" w:asciiTheme="minorEastAsia" w:hAnsiTheme="minorEastAsia" w:eastAsiaTheme="minorEastAsia"/>
                <w:szCs w:val="21"/>
              </w:rPr>
            </w:pPr>
          </w:p>
        </w:tc>
        <w:tc>
          <w:tcPr>
            <w:tcW w:w="885" w:type="dxa"/>
          </w:tcPr>
          <w:p>
            <w:pPr>
              <w:spacing w:line="320" w:lineRule="exact"/>
              <w:rPr>
                <w:rFonts w:cs="Arial"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E8.2</w:t>
            </w:r>
          </w:p>
        </w:tc>
        <w:tc>
          <w:tcPr>
            <w:tcW w:w="11653" w:type="dxa"/>
            <w:vAlign w:val="top"/>
          </w:tcPr>
          <w:p>
            <w:pPr>
              <w:wordWrap w:val="0"/>
              <w:spacing w:line="400" w:lineRule="exact"/>
              <w:rPr>
                <w:rFonts w:hint="eastAsia"/>
              </w:rPr>
            </w:pPr>
            <w:r>
              <w:rPr>
                <w:rFonts w:hint="eastAsia"/>
                <w:lang w:val="en-US" w:eastAsia="zh-CN"/>
              </w:rPr>
              <w:t>2022.2.15办公室组织了触电应急演练，</w:t>
            </w:r>
            <w:r>
              <w:rPr>
                <w:rFonts w:hint="eastAsia"/>
              </w:rPr>
              <w:t>通过演练，既锻炼了队伍又检验了队伍，提高了广大职工的</w:t>
            </w:r>
            <w:r>
              <w:rPr>
                <w:rFonts w:hint="eastAsia"/>
                <w:lang w:eastAsia="zh-CN"/>
              </w:rPr>
              <w:t>安全用电</w:t>
            </w:r>
            <w:r>
              <w:rPr>
                <w:rFonts w:hint="eastAsia"/>
              </w:rPr>
              <w:t>意识和素质，为今后</w:t>
            </w:r>
            <w:r>
              <w:rPr>
                <w:rFonts w:hint="eastAsia"/>
                <w:lang w:eastAsia="zh-CN"/>
              </w:rPr>
              <w:t>安全用电</w:t>
            </w:r>
            <w:r>
              <w:rPr>
                <w:rFonts w:hint="eastAsia"/>
              </w:rPr>
              <w:t>工作打下了很好的基础，为安全</w:t>
            </w:r>
            <w:r>
              <w:rPr>
                <w:rFonts w:hint="eastAsia"/>
                <w:lang w:eastAsia="zh-CN"/>
              </w:rPr>
              <w:t>用电</w:t>
            </w:r>
            <w:r>
              <w:rPr>
                <w:rFonts w:hint="eastAsia"/>
              </w:rPr>
              <w:t>提供了可靠的保证。</w:t>
            </w:r>
          </w:p>
          <w:p>
            <w:pPr>
              <w:wordWrap w:val="0"/>
              <w:spacing w:line="400" w:lineRule="exact"/>
              <w:rPr>
                <w:rFonts w:hint="eastAsia"/>
              </w:rPr>
            </w:pPr>
            <w:r>
              <w:rPr>
                <w:rFonts w:hint="eastAsia"/>
                <w:lang w:val="en-US" w:eastAsia="zh-CN"/>
              </w:rPr>
              <w:t>2022.3.11 火灾应急演练，</w:t>
            </w:r>
            <w:r>
              <w:rPr>
                <w:rFonts w:hint="eastAsia"/>
              </w:rPr>
              <w:t>通过演练，既锻炼了队伍又检验了队伍，提高了广大职工的消防意识和素质，为今后消防工作打下了很好的基础，为安全生产提供了可靠的保证。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公司制定的应急预案和响应措施内容全面，切实可行，能满足现场应急与响应要求，将继续予以执行，近期将不作修改。</w:t>
            </w:r>
          </w:p>
          <w:p>
            <w:pPr>
              <w:pStyle w:val="2"/>
              <w:ind w:firstLine="420" w:firstLineChars="200"/>
              <w:rPr>
                <w:rFonts w:hint="default" w:ascii="Times New Roman" w:hAnsi="Times New Roman" w:eastAsia="宋体" w:cs="Times New Roman"/>
                <w:kern w:val="2"/>
                <w:sz w:val="21"/>
                <w:lang w:val="en-US" w:eastAsia="zh-CN" w:bidi="ar-SA"/>
              </w:rPr>
            </w:pPr>
            <w:r>
              <w:rPr>
                <w:rFonts w:hint="eastAsia" w:cs="Times New Roman" w:asciiTheme="minorEastAsia" w:hAnsiTheme="minorEastAsia" w:eastAsiaTheme="minorEastAsia"/>
                <w:color w:val="FF0000"/>
                <w:sz w:val="21"/>
                <w:szCs w:val="21"/>
                <w:lang w:val="en-US" w:eastAsia="zh-CN"/>
              </w:rPr>
              <w:t>不符合：企业未提供新冠疫情应急预案。</w:t>
            </w:r>
          </w:p>
        </w:tc>
        <w:tc>
          <w:tcPr>
            <w:tcW w:w="851" w:type="dxa"/>
          </w:tcPr>
          <w:p>
            <w:pPr>
              <w:spacing w:line="320" w:lineRule="exact"/>
              <w:rPr>
                <w:rFonts w:hint="eastAsia" w:asciiTheme="minorEastAsia" w:hAnsiTheme="minorEastAsia" w:eastAsiaTheme="minorEastAsia"/>
                <w:szCs w:val="21"/>
                <w:lang w:val="en-US" w:eastAsia="zh-CN"/>
              </w:rPr>
            </w:pPr>
            <w:r>
              <w:rPr>
                <w:rFonts w:hint="eastAsia"/>
                <w:color w:val="FF0000"/>
                <w:sz w:val="21"/>
                <w:szCs w:val="21"/>
                <w:lang w:val="en-US" w:eastAsia="zh-CN"/>
              </w:rPr>
              <w:t>N</w:t>
            </w: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7"/>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介绍明：不符合标注N</w:t>
      </w: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1155" w:firstLineChars="550"/>
      <w:jc w:val="left"/>
      <w:rPr>
        <w:rStyle w:val="25"/>
        <w:rFonts w:hint="default"/>
      </w:rPr>
    </w:pP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on="t" color2="#FFFFFF" focussize="0,0"/>
          <v:stroke on="f"/>
          <v:imagedata o:title=""/>
          <o:lock v:ext="edit" aspectratio="f"/>
          <v:textbox>
            <w:txbxContent>
              <w:p>
                <w:pPr>
                  <w:ind w:firstLine="1440" w:firstLineChars="800"/>
                </w:pPr>
                <w:r>
                  <w:rPr>
                    <w:rFonts w:hint="eastAsia"/>
                    <w:sz w:val="18"/>
                    <w:szCs w:val="18"/>
                  </w:rPr>
                  <w:t>IISC-B-II-12(05版</w:t>
                </w:r>
              </w:p>
              <w:p/>
            </w:txbxContent>
          </v:textbox>
        </v:shape>
      </w:pict>
    </w:r>
    <w:r>
      <w:rPr>
        <w:rStyle w:val="25"/>
        <w:rFonts w:hint="default"/>
      </w:rPr>
      <w:t xml:space="preserve">  </w:t>
    </w:r>
    <w:r>
      <w:drawing>
        <wp:anchor distT="0" distB="0" distL="114300" distR="114300" simplePos="0" relativeHeight="251662336" behindDoc="0" locked="0" layoutInCell="1" allowOverlap="1">
          <wp:simplePos x="0" y="0"/>
          <wp:positionH relativeFrom="column">
            <wp:posOffset>71755</wp:posOffset>
          </wp:positionH>
          <wp:positionV relativeFrom="paragraph">
            <wp:posOffset>-246380</wp:posOffset>
          </wp:positionV>
          <wp:extent cx="481330" cy="484505"/>
          <wp:effectExtent l="0" t="0" r="6350" b="3175"/>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25"/>
        <w:rFonts w:hint="default"/>
      </w:rPr>
      <w:t xml:space="preserve">     </w:t>
    </w:r>
    <w:r>
      <w:rPr>
        <w:rStyle w:val="25"/>
        <w:rFonts w:hint="eastAsia"/>
        <w:lang w:val="en-US"/>
      </w:rPr>
      <w:t xml:space="preserve"> </w:t>
    </w:r>
    <w:r>
      <w:rPr>
        <w:rStyle w:val="25"/>
        <w:rFonts w:hint="default"/>
      </w:rPr>
      <w:t xml:space="preserve"> </w:t>
    </w:r>
    <w:r>
      <w:rPr>
        <w:rStyle w:val="25"/>
        <w:rFonts w:hint="eastAsia"/>
        <w:lang w:val="en-US"/>
      </w:rPr>
      <w:t xml:space="preserve"> </w:t>
    </w:r>
    <w:r>
      <w:rPr>
        <w:rStyle w:val="25"/>
        <w:rFonts w:hint="default"/>
        <w:w w:val="90"/>
      </w:rPr>
      <w:t>Beijing International Standard united Certification Co.,Ltd.</w:t>
    </w:r>
    <w:r>
      <w:rPr>
        <w:rStyle w:val="25"/>
        <w:rFonts w:hint="default"/>
        <w:w w:val="90"/>
        <w:szCs w:val="21"/>
      </w:rPr>
      <w:t xml:space="preserve">  </w:t>
    </w:r>
    <w:r>
      <w:rPr>
        <w:rStyle w:val="25"/>
        <w:rFonts w:hint="default"/>
        <w:w w:val="90"/>
        <w:sz w:val="20"/>
      </w:rPr>
      <w:t xml:space="preserve"> </w:t>
    </w:r>
    <w:r>
      <w:rPr>
        <w:rStyle w:val="2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9973B4"/>
    <w:rsid w:val="000019A9"/>
    <w:rsid w:val="0000752D"/>
    <w:rsid w:val="00015489"/>
    <w:rsid w:val="000237F6"/>
    <w:rsid w:val="00024902"/>
    <w:rsid w:val="0003373A"/>
    <w:rsid w:val="000375C6"/>
    <w:rsid w:val="00046099"/>
    <w:rsid w:val="00057CF8"/>
    <w:rsid w:val="00080DCA"/>
    <w:rsid w:val="000A18C8"/>
    <w:rsid w:val="000B5555"/>
    <w:rsid w:val="000C5D0F"/>
    <w:rsid w:val="000D280C"/>
    <w:rsid w:val="000D3816"/>
    <w:rsid w:val="0010132B"/>
    <w:rsid w:val="00113349"/>
    <w:rsid w:val="001266C2"/>
    <w:rsid w:val="00141C60"/>
    <w:rsid w:val="00146847"/>
    <w:rsid w:val="00147640"/>
    <w:rsid w:val="001818E5"/>
    <w:rsid w:val="0019457F"/>
    <w:rsid w:val="001A2D7F"/>
    <w:rsid w:val="001A4632"/>
    <w:rsid w:val="001A71A3"/>
    <w:rsid w:val="001B02A9"/>
    <w:rsid w:val="001C0456"/>
    <w:rsid w:val="001C38A3"/>
    <w:rsid w:val="001D1CAB"/>
    <w:rsid w:val="001F2187"/>
    <w:rsid w:val="001F5202"/>
    <w:rsid w:val="001F7315"/>
    <w:rsid w:val="00214559"/>
    <w:rsid w:val="002160EE"/>
    <w:rsid w:val="002207A5"/>
    <w:rsid w:val="002218DD"/>
    <w:rsid w:val="00227438"/>
    <w:rsid w:val="00253426"/>
    <w:rsid w:val="00254821"/>
    <w:rsid w:val="00262E39"/>
    <w:rsid w:val="00282379"/>
    <w:rsid w:val="00292E40"/>
    <w:rsid w:val="002A54B9"/>
    <w:rsid w:val="002D30C8"/>
    <w:rsid w:val="002D5568"/>
    <w:rsid w:val="002F343A"/>
    <w:rsid w:val="00304AB7"/>
    <w:rsid w:val="0031396D"/>
    <w:rsid w:val="003145C8"/>
    <w:rsid w:val="003151E5"/>
    <w:rsid w:val="00320EDF"/>
    <w:rsid w:val="003319C7"/>
    <w:rsid w:val="0033303C"/>
    <w:rsid w:val="00337922"/>
    <w:rsid w:val="00340867"/>
    <w:rsid w:val="00360E55"/>
    <w:rsid w:val="00367AB0"/>
    <w:rsid w:val="00372506"/>
    <w:rsid w:val="0037457B"/>
    <w:rsid w:val="003807AD"/>
    <w:rsid w:val="00380837"/>
    <w:rsid w:val="00381FA9"/>
    <w:rsid w:val="0039404F"/>
    <w:rsid w:val="003951EC"/>
    <w:rsid w:val="003A198A"/>
    <w:rsid w:val="003B31AA"/>
    <w:rsid w:val="003E11CB"/>
    <w:rsid w:val="003E1EC0"/>
    <w:rsid w:val="003F7828"/>
    <w:rsid w:val="003F7E69"/>
    <w:rsid w:val="00403B34"/>
    <w:rsid w:val="00407CDA"/>
    <w:rsid w:val="00410914"/>
    <w:rsid w:val="00425CA8"/>
    <w:rsid w:val="00460254"/>
    <w:rsid w:val="004642F2"/>
    <w:rsid w:val="00465F3C"/>
    <w:rsid w:val="004705BF"/>
    <w:rsid w:val="00484344"/>
    <w:rsid w:val="00485B1D"/>
    <w:rsid w:val="004929ED"/>
    <w:rsid w:val="0049424F"/>
    <w:rsid w:val="004A009F"/>
    <w:rsid w:val="004B42B7"/>
    <w:rsid w:val="004C50BC"/>
    <w:rsid w:val="004F61CD"/>
    <w:rsid w:val="005050C2"/>
    <w:rsid w:val="00513E0E"/>
    <w:rsid w:val="005210E4"/>
    <w:rsid w:val="00522F77"/>
    <w:rsid w:val="00530179"/>
    <w:rsid w:val="005340FE"/>
    <w:rsid w:val="00536930"/>
    <w:rsid w:val="00542920"/>
    <w:rsid w:val="0054377F"/>
    <w:rsid w:val="00547D07"/>
    <w:rsid w:val="00556543"/>
    <w:rsid w:val="00562830"/>
    <w:rsid w:val="00564E53"/>
    <w:rsid w:val="00570475"/>
    <w:rsid w:val="00572642"/>
    <w:rsid w:val="005766BC"/>
    <w:rsid w:val="00576829"/>
    <w:rsid w:val="00580148"/>
    <w:rsid w:val="00587B31"/>
    <w:rsid w:val="0059010E"/>
    <w:rsid w:val="00592545"/>
    <w:rsid w:val="005A528E"/>
    <w:rsid w:val="005A55E0"/>
    <w:rsid w:val="005C1DB5"/>
    <w:rsid w:val="005C79A4"/>
    <w:rsid w:val="005D3984"/>
    <w:rsid w:val="005D542C"/>
    <w:rsid w:val="005D5C6F"/>
    <w:rsid w:val="005F2E83"/>
    <w:rsid w:val="005F3118"/>
    <w:rsid w:val="00600B1B"/>
    <w:rsid w:val="0060265C"/>
    <w:rsid w:val="00604357"/>
    <w:rsid w:val="00611C3A"/>
    <w:rsid w:val="00613B06"/>
    <w:rsid w:val="006216DA"/>
    <w:rsid w:val="00635D08"/>
    <w:rsid w:val="00636F30"/>
    <w:rsid w:val="00644FE2"/>
    <w:rsid w:val="00657163"/>
    <w:rsid w:val="0066139D"/>
    <w:rsid w:val="006640A1"/>
    <w:rsid w:val="0067189C"/>
    <w:rsid w:val="0067640C"/>
    <w:rsid w:val="00676BA0"/>
    <w:rsid w:val="006B14E9"/>
    <w:rsid w:val="006B4E10"/>
    <w:rsid w:val="006C0DD3"/>
    <w:rsid w:val="006E1CE0"/>
    <w:rsid w:val="006E386A"/>
    <w:rsid w:val="006E678B"/>
    <w:rsid w:val="006E7988"/>
    <w:rsid w:val="006F00A0"/>
    <w:rsid w:val="006F1258"/>
    <w:rsid w:val="006F45A6"/>
    <w:rsid w:val="007223CD"/>
    <w:rsid w:val="00726634"/>
    <w:rsid w:val="007279F6"/>
    <w:rsid w:val="00734AF4"/>
    <w:rsid w:val="00750A89"/>
    <w:rsid w:val="00755614"/>
    <w:rsid w:val="007642B1"/>
    <w:rsid w:val="0076534A"/>
    <w:rsid w:val="007745EA"/>
    <w:rsid w:val="007757F3"/>
    <w:rsid w:val="007813D2"/>
    <w:rsid w:val="007B087D"/>
    <w:rsid w:val="007E6AEB"/>
    <w:rsid w:val="00814EA8"/>
    <w:rsid w:val="008209B3"/>
    <w:rsid w:val="00836DDF"/>
    <w:rsid w:val="00846FD9"/>
    <w:rsid w:val="00847FF2"/>
    <w:rsid w:val="0086624A"/>
    <w:rsid w:val="008718A2"/>
    <w:rsid w:val="008734C4"/>
    <w:rsid w:val="008760B4"/>
    <w:rsid w:val="00886CF2"/>
    <w:rsid w:val="008973EE"/>
    <w:rsid w:val="008A3A63"/>
    <w:rsid w:val="008A4C5F"/>
    <w:rsid w:val="008C2D56"/>
    <w:rsid w:val="008D2790"/>
    <w:rsid w:val="008D6D23"/>
    <w:rsid w:val="008E265D"/>
    <w:rsid w:val="008E4ADC"/>
    <w:rsid w:val="008F699C"/>
    <w:rsid w:val="00906BA5"/>
    <w:rsid w:val="00906DFD"/>
    <w:rsid w:val="00962A39"/>
    <w:rsid w:val="009649FA"/>
    <w:rsid w:val="00971600"/>
    <w:rsid w:val="00983EBA"/>
    <w:rsid w:val="0099659E"/>
    <w:rsid w:val="009973B4"/>
    <w:rsid w:val="009B67C4"/>
    <w:rsid w:val="009C28C1"/>
    <w:rsid w:val="009F219B"/>
    <w:rsid w:val="009F7EED"/>
    <w:rsid w:val="00A02D48"/>
    <w:rsid w:val="00A13B66"/>
    <w:rsid w:val="00A261E2"/>
    <w:rsid w:val="00A27C46"/>
    <w:rsid w:val="00A73387"/>
    <w:rsid w:val="00A74AD9"/>
    <w:rsid w:val="00A826EA"/>
    <w:rsid w:val="00A91EBF"/>
    <w:rsid w:val="00A957D1"/>
    <w:rsid w:val="00A96449"/>
    <w:rsid w:val="00A97098"/>
    <w:rsid w:val="00AB70ED"/>
    <w:rsid w:val="00AE0DDF"/>
    <w:rsid w:val="00AE1252"/>
    <w:rsid w:val="00AE398E"/>
    <w:rsid w:val="00AF0AAB"/>
    <w:rsid w:val="00B014C7"/>
    <w:rsid w:val="00B070D6"/>
    <w:rsid w:val="00B22F36"/>
    <w:rsid w:val="00B266C3"/>
    <w:rsid w:val="00B4608C"/>
    <w:rsid w:val="00B613CB"/>
    <w:rsid w:val="00B63E18"/>
    <w:rsid w:val="00B71EC8"/>
    <w:rsid w:val="00B7798A"/>
    <w:rsid w:val="00B85ADB"/>
    <w:rsid w:val="00BA5456"/>
    <w:rsid w:val="00BA6FB5"/>
    <w:rsid w:val="00BD4090"/>
    <w:rsid w:val="00BF381D"/>
    <w:rsid w:val="00BF597E"/>
    <w:rsid w:val="00BF5C9B"/>
    <w:rsid w:val="00C03CB4"/>
    <w:rsid w:val="00C15667"/>
    <w:rsid w:val="00C15D2A"/>
    <w:rsid w:val="00C17C94"/>
    <w:rsid w:val="00C4055F"/>
    <w:rsid w:val="00C51A36"/>
    <w:rsid w:val="00C55228"/>
    <w:rsid w:val="00C55C1B"/>
    <w:rsid w:val="00C66CB1"/>
    <w:rsid w:val="00C75770"/>
    <w:rsid w:val="00C838CC"/>
    <w:rsid w:val="00C87ACE"/>
    <w:rsid w:val="00C95C4A"/>
    <w:rsid w:val="00CA0D11"/>
    <w:rsid w:val="00CA1E6D"/>
    <w:rsid w:val="00CA26C4"/>
    <w:rsid w:val="00CA7912"/>
    <w:rsid w:val="00CB4A1E"/>
    <w:rsid w:val="00CC06A9"/>
    <w:rsid w:val="00CD6CED"/>
    <w:rsid w:val="00CE315A"/>
    <w:rsid w:val="00CE79E9"/>
    <w:rsid w:val="00CF6DF6"/>
    <w:rsid w:val="00D06F59"/>
    <w:rsid w:val="00D379FD"/>
    <w:rsid w:val="00D442D9"/>
    <w:rsid w:val="00D4771D"/>
    <w:rsid w:val="00D6292E"/>
    <w:rsid w:val="00D7317C"/>
    <w:rsid w:val="00D76FAF"/>
    <w:rsid w:val="00D8388C"/>
    <w:rsid w:val="00D90860"/>
    <w:rsid w:val="00D91A6D"/>
    <w:rsid w:val="00D97620"/>
    <w:rsid w:val="00DA5B0A"/>
    <w:rsid w:val="00DA7C22"/>
    <w:rsid w:val="00DB328D"/>
    <w:rsid w:val="00DC331A"/>
    <w:rsid w:val="00DC4503"/>
    <w:rsid w:val="00DC5FFD"/>
    <w:rsid w:val="00DD161C"/>
    <w:rsid w:val="00DD7E5B"/>
    <w:rsid w:val="00DE307B"/>
    <w:rsid w:val="00DE385E"/>
    <w:rsid w:val="00DE3D9F"/>
    <w:rsid w:val="00E01FB7"/>
    <w:rsid w:val="00E07157"/>
    <w:rsid w:val="00E14109"/>
    <w:rsid w:val="00E30342"/>
    <w:rsid w:val="00E33DE0"/>
    <w:rsid w:val="00E54628"/>
    <w:rsid w:val="00E73AE3"/>
    <w:rsid w:val="00E75126"/>
    <w:rsid w:val="00E75C2F"/>
    <w:rsid w:val="00E838E4"/>
    <w:rsid w:val="00E83970"/>
    <w:rsid w:val="00EA663C"/>
    <w:rsid w:val="00EB0164"/>
    <w:rsid w:val="00EB232D"/>
    <w:rsid w:val="00EC3C1B"/>
    <w:rsid w:val="00EC414D"/>
    <w:rsid w:val="00ED0F62"/>
    <w:rsid w:val="00ED3BAF"/>
    <w:rsid w:val="00ED4470"/>
    <w:rsid w:val="00EE3632"/>
    <w:rsid w:val="00F014AB"/>
    <w:rsid w:val="00F0575B"/>
    <w:rsid w:val="00F064A7"/>
    <w:rsid w:val="00F07028"/>
    <w:rsid w:val="00F07768"/>
    <w:rsid w:val="00F11894"/>
    <w:rsid w:val="00F15A8E"/>
    <w:rsid w:val="00F24012"/>
    <w:rsid w:val="00F3523B"/>
    <w:rsid w:val="00F42D5A"/>
    <w:rsid w:val="00F503AA"/>
    <w:rsid w:val="00F55474"/>
    <w:rsid w:val="00F67B25"/>
    <w:rsid w:val="00F67CAF"/>
    <w:rsid w:val="00F740A1"/>
    <w:rsid w:val="00F86CC2"/>
    <w:rsid w:val="00F87080"/>
    <w:rsid w:val="00F95C35"/>
    <w:rsid w:val="00FB3B96"/>
    <w:rsid w:val="00FC0B48"/>
    <w:rsid w:val="04725735"/>
    <w:rsid w:val="05CD3D24"/>
    <w:rsid w:val="081D0FB6"/>
    <w:rsid w:val="087C27A3"/>
    <w:rsid w:val="09EB2825"/>
    <w:rsid w:val="0C947C19"/>
    <w:rsid w:val="0E5960DC"/>
    <w:rsid w:val="0F3A364B"/>
    <w:rsid w:val="108219C2"/>
    <w:rsid w:val="12BB5B4A"/>
    <w:rsid w:val="13A50343"/>
    <w:rsid w:val="14BF71E2"/>
    <w:rsid w:val="158A6F8F"/>
    <w:rsid w:val="1592652E"/>
    <w:rsid w:val="15D84673"/>
    <w:rsid w:val="160B0931"/>
    <w:rsid w:val="176C603E"/>
    <w:rsid w:val="18277578"/>
    <w:rsid w:val="1B155DAE"/>
    <w:rsid w:val="1BA726AC"/>
    <w:rsid w:val="1C3E30E2"/>
    <w:rsid w:val="1D802020"/>
    <w:rsid w:val="1EC66CF6"/>
    <w:rsid w:val="1FEC4CF5"/>
    <w:rsid w:val="20887714"/>
    <w:rsid w:val="221C570D"/>
    <w:rsid w:val="225E7539"/>
    <w:rsid w:val="2365523D"/>
    <w:rsid w:val="263450F0"/>
    <w:rsid w:val="271C4959"/>
    <w:rsid w:val="29086F52"/>
    <w:rsid w:val="2B64129A"/>
    <w:rsid w:val="2D517F77"/>
    <w:rsid w:val="2E33092C"/>
    <w:rsid w:val="31716D4D"/>
    <w:rsid w:val="32436E58"/>
    <w:rsid w:val="32526852"/>
    <w:rsid w:val="330541D1"/>
    <w:rsid w:val="349C72C9"/>
    <w:rsid w:val="35746C75"/>
    <w:rsid w:val="361E3091"/>
    <w:rsid w:val="36A04C6E"/>
    <w:rsid w:val="39E77C78"/>
    <w:rsid w:val="40C95012"/>
    <w:rsid w:val="417B60BB"/>
    <w:rsid w:val="4502092E"/>
    <w:rsid w:val="47E92683"/>
    <w:rsid w:val="494D109E"/>
    <w:rsid w:val="4A1B668D"/>
    <w:rsid w:val="4BF865B6"/>
    <w:rsid w:val="4C3D4EF6"/>
    <w:rsid w:val="4E1251BD"/>
    <w:rsid w:val="50A75DFC"/>
    <w:rsid w:val="52717451"/>
    <w:rsid w:val="534F5997"/>
    <w:rsid w:val="541039EA"/>
    <w:rsid w:val="54AF6350"/>
    <w:rsid w:val="55CB345B"/>
    <w:rsid w:val="56813E40"/>
    <w:rsid w:val="57803FD4"/>
    <w:rsid w:val="598E5607"/>
    <w:rsid w:val="5BA54009"/>
    <w:rsid w:val="5C417146"/>
    <w:rsid w:val="5EA12B9A"/>
    <w:rsid w:val="602241DC"/>
    <w:rsid w:val="690544DC"/>
    <w:rsid w:val="6A6D54DB"/>
    <w:rsid w:val="6B562172"/>
    <w:rsid w:val="6DCB4007"/>
    <w:rsid w:val="6F51329D"/>
    <w:rsid w:val="6FAA60A5"/>
    <w:rsid w:val="71835BBE"/>
    <w:rsid w:val="72F5085A"/>
    <w:rsid w:val="734819F2"/>
    <w:rsid w:val="741B7C51"/>
    <w:rsid w:val="74244E8E"/>
    <w:rsid w:val="75ED632B"/>
    <w:rsid w:val="77036015"/>
    <w:rsid w:val="7A255F27"/>
    <w:rsid w:val="7BBC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ody Text Indent"/>
    <w:basedOn w:val="1"/>
    <w:link w:val="34"/>
    <w:qFormat/>
    <w:uiPriority w:val="0"/>
    <w:pPr>
      <w:widowControl/>
      <w:spacing w:after="120"/>
      <w:ind w:left="420" w:leftChars="200"/>
      <w:jc w:val="left"/>
    </w:pPr>
    <w:rPr>
      <w:kern w:val="0"/>
      <w:sz w:val="20"/>
      <w:lang w:eastAsia="en-US"/>
    </w:rPr>
  </w:style>
  <w:style w:type="paragraph" w:styleId="5">
    <w:name w:val="Plain Text"/>
    <w:basedOn w:val="1"/>
    <w:link w:val="40"/>
    <w:qFormat/>
    <w:uiPriority w:val="0"/>
    <w:rPr>
      <w:rFonts w:ascii="宋体" w:hAnsi="Courier New" w:cs="Courier New" w:eastAsiaTheme="minorEastAsia"/>
      <w:szCs w:val="21"/>
    </w:rPr>
  </w:style>
  <w:style w:type="paragraph" w:styleId="6">
    <w:name w:val="Balloon Text"/>
    <w:basedOn w:val="1"/>
    <w:link w:val="23"/>
    <w:unhideWhenUsed/>
    <w:qFormat/>
    <w:uiPriority w:val="0"/>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next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8296"/>
      </w:tabs>
      <w:spacing w:line="360" w:lineRule="auto"/>
    </w:pPr>
    <w:rPr>
      <w:rFonts w:ascii="宋体" w:hAnsi="宋体"/>
      <w:sz w:val="24"/>
    </w:rPr>
  </w:style>
  <w:style w:type="paragraph" w:styleId="10">
    <w:name w:val="Body Text Indent 3"/>
    <w:basedOn w:val="1"/>
    <w:link w:val="37"/>
    <w:unhideWhenUsed/>
    <w:qFormat/>
    <w:uiPriority w:val="99"/>
    <w:pPr>
      <w:spacing w:after="120"/>
      <w:ind w:left="420" w:leftChars="200"/>
    </w:pPr>
    <w:rPr>
      <w:sz w:val="16"/>
      <w:szCs w:val="16"/>
    </w:rPr>
  </w:style>
  <w:style w:type="paragraph" w:styleId="11">
    <w:name w:val="Title"/>
    <w:basedOn w:val="1"/>
    <w:link w:val="31"/>
    <w:qFormat/>
    <w:uiPriority w:val="0"/>
    <w:pPr>
      <w:widowControl/>
      <w:jc w:val="center"/>
    </w:pPr>
    <w:rPr>
      <w:rFonts w:ascii="Book Antiqua" w:hAnsi="Book Antiqua"/>
      <w:b/>
      <w:kern w:val="0"/>
      <w:sz w:val="31"/>
      <w:szCs w:val="31"/>
      <w:u w:val="single"/>
      <w:lang w:eastAsia="en-US"/>
    </w:rPr>
  </w:style>
  <w:style w:type="paragraph" w:styleId="12">
    <w:name w:val="Body Text First Indent"/>
    <w:basedOn w:val="2"/>
    <w:qFormat/>
    <w:uiPriority w:val="0"/>
    <w:pPr>
      <w:ind w:firstLine="420" w:firstLineChars="100"/>
    </w:pPr>
    <w:rPr>
      <w:szCs w:val="20"/>
    </w:rPr>
  </w:style>
  <w:style w:type="table" w:styleId="14">
    <w:name w:val="Table Grid"/>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rPr>
      <w:rFonts w:ascii="宋体" w:hAnsi="宋体" w:eastAsia="宋体"/>
      <w:kern w:val="0"/>
      <w:sz w:val="24"/>
      <w:szCs w:val="20"/>
      <w:lang w:eastAsia="en-US"/>
    </w:rPr>
  </w:style>
  <w:style w:type="character" w:styleId="18">
    <w:name w:val="FollowedHyperlink"/>
    <w:unhideWhenUsed/>
    <w:qFormat/>
    <w:uiPriority w:val="99"/>
    <w:rPr>
      <w:rFonts w:ascii="Verdana" w:hAnsi="Verdana" w:eastAsia="仿宋_GB2312"/>
      <w:color w:val="800080"/>
      <w:kern w:val="0"/>
      <w:sz w:val="24"/>
      <w:szCs w:val="20"/>
      <w:u w:val="single"/>
      <w:lang w:eastAsia="en-US"/>
    </w:rPr>
  </w:style>
  <w:style w:type="character" w:styleId="19">
    <w:name w:val="Emphasis"/>
    <w:qFormat/>
    <w:uiPriority w:val="20"/>
    <w:rPr>
      <w:rFonts w:ascii="Verdana" w:hAnsi="Verdana" w:eastAsia="仿宋_GB2312"/>
      <w:color w:val="CC0000"/>
      <w:kern w:val="0"/>
      <w:sz w:val="24"/>
      <w:szCs w:val="20"/>
      <w:lang w:eastAsia="en-US"/>
    </w:rPr>
  </w:style>
  <w:style w:type="character" w:styleId="20">
    <w:name w:val="Hyperlink"/>
    <w:qFormat/>
    <w:uiPriority w:val="99"/>
    <w:rPr>
      <w:rFonts w:ascii="Verdana" w:hAnsi="Verdana" w:eastAsia="仿宋_GB2312"/>
      <w:color w:val="0000FF"/>
      <w:kern w:val="0"/>
      <w:sz w:val="24"/>
      <w:szCs w:val="20"/>
      <w:u w:val="single"/>
      <w:lang w:eastAsia="en-US"/>
    </w:rPr>
  </w:style>
  <w:style w:type="character" w:customStyle="1" w:styleId="21">
    <w:name w:val="页眉 Char"/>
    <w:basedOn w:val="15"/>
    <w:link w:val="8"/>
    <w:qFormat/>
    <w:uiPriority w:val="0"/>
    <w:rPr>
      <w:rFonts w:ascii="Times New Roman" w:hAnsi="Times New Roman" w:eastAsia="宋体" w:cs="Times New Roman"/>
      <w:sz w:val="18"/>
      <w:szCs w:val="18"/>
    </w:rPr>
  </w:style>
  <w:style w:type="paragraph" w:customStyle="1" w:styleId="22">
    <w:name w:val="表格文字"/>
    <w:basedOn w:val="1"/>
    <w:qFormat/>
    <w:uiPriority w:val="0"/>
    <w:pPr>
      <w:spacing w:before="25" w:after="25"/>
    </w:pPr>
    <w:rPr>
      <w:bCs/>
      <w:spacing w:val="10"/>
    </w:rPr>
  </w:style>
  <w:style w:type="character" w:customStyle="1" w:styleId="23">
    <w:name w:val="批注框文本 Char"/>
    <w:basedOn w:val="15"/>
    <w:link w:val="6"/>
    <w:qFormat/>
    <w:uiPriority w:val="0"/>
    <w:rPr>
      <w:rFonts w:ascii="Times New Roman" w:hAnsi="Times New Roman" w:eastAsia="宋体" w:cs="Times New Roman"/>
      <w:sz w:val="18"/>
      <w:szCs w:val="18"/>
    </w:rPr>
  </w:style>
  <w:style w:type="character" w:customStyle="1" w:styleId="24">
    <w:name w:val="页脚 Char"/>
    <w:basedOn w:val="15"/>
    <w:link w:val="7"/>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fontstyle01"/>
    <w:basedOn w:val="15"/>
    <w:qFormat/>
    <w:uiPriority w:val="0"/>
    <w:rPr>
      <w:rFonts w:hint="eastAsia" w:ascii="宋体" w:hAnsi="宋体" w:eastAsia="宋体"/>
      <w:color w:val="000000"/>
      <w:sz w:val="24"/>
      <w:szCs w:val="24"/>
    </w:rPr>
  </w:style>
  <w:style w:type="character" w:customStyle="1" w:styleId="28">
    <w:name w:val="fontstyle21"/>
    <w:basedOn w:val="15"/>
    <w:qFormat/>
    <w:uiPriority w:val="0"/>
    <w:rPr>
      <w:rFonts w:hint="default" w:ascii="Times New Roman" w:hAnsi="Times New Roman" w:cs="Times New Roman"/>
      <w:color w:val="000000"/>
      <w:sz w:val="24"/>
      <w:szCs w:val="24"/>
    </w:rPr>
  </w:style>
  <w:style w:type="character" w:customStyle="1" w:styleId="29">
    <w:name w:val="unnamed141"/>
    <w:qFormat/>
    <w:uiPriority w:val="0"/>
    <w:rPr>
      <w:rFonts w:ascii="Verdana" w:hAnsi="Verdana" w:eastAsia="仿宋_GB2312"/>
      <w:kern w:val="0"/>
      <w:sz w:val="28"/>
      <w:szCs w:val="28"/>
      <w:lang w:eastAsia="en-US"/>
    </w:rPr>
  </w:style>
  <w:style w:type="character" w:customStyle="1" w:styleId="30">
    <w:name w:val="gaogao1"/>
    <w:basedOn w:val="15"/>
    <w:qFormat/>
    <w:uiPriority w:val="0"/>
    <w:rPr>
      <w:rFonts w:ascii="Verdana" w:hAnsi="Verdana" w:eastAsia="仿宋_GB2312"/>
      <w:kern w:val="0"/>
      <w:sz w:val="24"/>
      <w:szCs w:val="20"/>
      <w:lang w:eastAsia="en-US"/>
    </w:rPr>
  </w:style>
  <w:style w:type="character" w:customStyle="1" w:styleId="31">
    <w:name w:val="标题 Char"/>
    <w:basedOn w:val="15"/>
    <w:link w:val="11"/>
    <w:qFormat/>
    <w:uiPriority w:val="0"/>
    <w:rPr>
      <w:rFonts w:ascii="Book Antiqua" w:hAnsi="Book Antiqua" w:eastAsia="宋体" w:cs="Times New Roman"/>
      <w:b/>
      <w:sz w:val="31"/>
      <w:szCs w:val="31"/>
      <w:u w:val="single"/>
      <w:lang w:eastAsia="en-US"/>
    </w:rPr>
  </w:style>
  <w:style w:type="paragraph" w:customStyle="1" w:styleId="32">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
    <w:name w:val="p0"/>
    <w:basedOn w:val="1"/>
    <w:qFormat/>
    <w:uiPriority w:val="0"/>
    <w:pPr>
      <w:widowControl/>
      <w:jc w:val="left"/>
    </w:pPr>
    <w:rPr>
      <w:kern w:val="0"/>
      <w:sz w:val="20"/>
      <w:szCs w:val="21"/>
      <w:lang w:eastAsia="en-US"/>
    </w:rPr>
  </w:style>
  <w:style w:type="character" w:customStyle="1" w:styleId="34">
    <w:name w:val="正文文本缩进 Char"/>
    <w:basedOn w:val="15"/>
    <w:link w:val="4"/>
    <w:qFormat/>
    <w:uiPriority w:val="0"/>
    <w:rPr>
      <w:rFonts w:ascii="Times New Roman" w:hAnsi="Times New Roman" w:eastAsia="宋体" w:cs="Times New Roman"/>
      <w:lang w:eastAsia="en-US"/>
    </w:rPr>
  </w:style>
  <w:style w:type="paragraph" w:customStyle="1" w:styleId="35">
    <w:name w:val="东方正文"/>
    <w:basedOn w:val="1"/>
    <w:qFormat/>
    <w:uiPriority w:val="0"/>
    <w:pPr>
      <w:spacing w:line="400" w:lineRule="exact"/>
      <w:ind w:left="284" w:right="284"/>
    </w:pPr>
    <w:rPr>
      <w:sz w:val="24"/>
    </w:rPr>
  </w:style>
  <w:style w:type="paragraph" w:styleId="36">
    <w:name w:val="List Paragraph"/>
    <w:basedOn w:val="1"/>
    <w:unhideWhenUsed/>
    <w:qFormat/>
    <w:uiPriority w:val="99"/>
    <w:pPr>
      <w:ind w:firstLine="420" w:firstLineChars="200"/>
    </w:pPr>
  </w:style>
  <w:style w:type="character" w:customStyle="1" w:styleId="37">
    <w:name w:val="正文文本缩进 3 Char"/>
    <w:basedOn w:val="15"/>
    <w:link w:val="10"/>
    <w:qFormat/>
    <w:uiPriority w:val="99"/>
    <w:rPr>
      <w:rFonts w:ascii="Times New Roman" w:hAnsi="Times New Roman" w:eastAsia="宋体" w:cs="Times New Roman"/>
      <w:kern w:val="2"/>
      <w:sz w:val="16"/>
      <w:szCs w:val="16"/>
    </w:rPr>
  </w:style>
  <w:style w:type="character" w:customStyle="1" w:styleId="38">
    <w:name w:val="标题 1 Char"/>
    <w:basedOn w:val="15"/>
    <w:link w:val="3"/>
    <w:qFormat/>
    <w:uiPriority w:val="9"/>
    <w:rPr>
      <w:rFonts w:ascii="Times New Roman" w:hAnsi="Times New Roman" w:eastAsia="宋体" w:cs="Times New Roman"/>
      <w:b/>
      <w:bCs/>
      <w:kern w:val="44"/>
      <w:sz w:val="44"/>
      <w:szCs w:val="44"/>
    </w:rPr>
  </w:style>
  <w:style w:type="character" w:customStyle="1" w:styleId="39">
    <w:name w:val="纯文本 Char"/>
    <w:link w:val="5"/>
    <w:qFormat/>
    <w:uiPriority w:val="0"/>
    <w:rPr>
      <w:rFonts w:ascii="宋体" w:hAnsi="Courier New" w:cs="Courier New"/>
      <w:kern w:val="2"/>
      <w:sz w:val="21"/>
      <w:szCs w:val="21"/>
    </w:rPr>
  </w:style>
  <w:style w:type="character" w:customStyle="1" w:styleId="40">
    <w:name w:val="纯文本 Char1"/>
    <w:basedOn w:val="15"/>
    <w:link w:val="5"/>
    <w:semiHidden/>
    <w:qFormat/>
    <w:uiPriority w:val="99"/>
    <w:rPr>
      <w:rFonts w:ascii="宋体" w:hAnsi="Courier New" w:eastAsia="宋体" w:cs="Courier New"/>
      <w:kern w:val="2"/>
      <w:sz w:val="21"/>
      <w:szCs w:val="21"/>
    </w:rPr>
  </w:style>
  <w:style w:type="character" w:customStyle="1" w:styleId="4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954E5-ACDE-4F68-81EB-90C9E5B8ABC2}">
  <ds:schemaRefs/>
</ds:datastoreItem>
</file>

<file path=docProps/app.xml><?xml version="1.0" encoding="utf-8"?>
<Properties xmlns="http://schemas.openxmlformats.org/officeDocument/2006/extended-properties" xmlns:vt="http://schemas.openxmlformats.org/officeDocument/2006/docPropsVTypes">
  <Template>Normal</Template>
  <Pages>35</Pages>
  <Words>4389</Words>
  <Characters>25019</Characters>
  <Lines>208</Lines>
  <Paragraphs>58</Paragraphs>
  <TotalTime>2</TotalTime>
  <ScaleCrop>false</ScaleCrop>
  <LinksUpToDate>false</LinksUpToDate>
  <CharactersWithSpaces>29350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2020-06-08T20:30:00Z</dcterms:created>
  <dc:creator>微软用户</dc:creator>
  <cp:lastModifiedBy>匡吉文</cp:lastModifiedBy>
  <dcterms:modified xsi:type="dcterms:W3CDTF">2022-05-08T15:35:38Z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CA03918A7E2A46298919F27DDE115735</vt:lpwstr>
  </property>
</Properties>
</file>