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河北凯得立服装有限公司</w:t>
            </w:r>
            <w:bookmarkEnd w:id="0"/>
            <w:r>
              <w:rPr>
                <w:rFonts w:hint="eastAsia"/>
                <w:color w:val="000000"/>
                <w:sz w:val="24"/>
                <w:szCs w:val="24"/>
              </w:rPr>
              <w:t xml:space="preserve">                 陪同人员： 常建立</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周文、</w:t>
            </w:r>
            <w:r>
              <w:rPr>
                <w:rFonts w:hint="eastAsia"/>
                <w:color w:val="000000"/>
                <w:sz w:val="24"/>
                <w:szCs w:val="24"/>
              </w:rPr>
              <w:t>强兴</w:t>
            </w:r>
            <w:bookmarkEnd w:id="1"/>
            <w:r>
              <w:rPr>
                <w:rFonts w:hint="eastAsia"/>
                <w:color w:val="000000"/>
                <w:sz w:val="24"/>
                <w:szCs w:val="24"/>
              </w:rPr>
              <w:t xml:space="preserve">                     审核时间：</w:t>
            </w:r>
            <w:bookmarkStart w:id="2" w:name="审核日期"/>
            <w:r>
              <w:rPr>
                <w:color w:val="000000"/>
              </w:rPr>
              <w:t>2022年04月28日 上午至2022年04月28日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91131124MA0DTHDQ98</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无约定</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lang w:val="en-US" w:eastAsia="zh-CN"/>
              </w:rPr>
              <w:t>销售：服装、床上用品</w:t>
            </w:r>
            <w:r>
              <w:rPr>
                <w:rFonts w:hint="eastAsia"/>
                <w:color w:val="000000"/>
                <w:szCs w:val="21"/>
              </w:rPr>
              <w:t>；</w:t>
            </w:r>
          </w:p>
          <w:p>
            <w:pPr>
              <w:spacing w:line="440" w:lineRule="exact"/>
              <w:ind w:firstLine="420" w:firstLineChars="200"/>
              <w:rPr>
                <w:rFonts w:hint="eastAsia"/>
                <w:color w:val="000000"/>
                <w:szCs w:val="21"/>
              </w:rPr>
            </w:pPr>
            <w:r>
              <w:rPr>
                <w:rFonts w:hint="eastAsia"/>
                <w:color w:val="000000"/>
              </w:rPr>
              <w:t>认证申请范围：</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Q：服装（校服）、床上用品（棉被、棉垫、床单、被罩）的销售</w:t>
            </w:r>
          </w:p>
          <w:p>
            <w:pPr>
              <w:spacing w:line="440" w:lineRule="exact"/>
              <w:ind w:firstLine="420" w:firstLineChars="200"/>
              <w:rPr>
                <w:rFonts w:hint="eastAsia"/>
                <w:color w:val="000000"/>
                <w:szCs w:val="21"/>
              </w:rPr>
            </w:pPr>
            <w:r>
              <w:rPr>
                <w:rFonts w:hint="eastAsia"/>
                <w:color w:val="000000"/>
                <w:szCs w:val="21"/>
              </w:rPr>
              <w:t>E：服装（校服）、床上用品（棉被、棉垫、床单、被罩）的销售所涉及场所的相关环境管理活动</w:t>
            </w:r>
          </w:p>
          <w:p>
            <w:pPr>
              <w:spacing w:line="440" w:lineRule="exact"/>
              <w:ind w:firstLine="420" w:firstLineChars="200"/>
              <w:rPr>
                <w:color w:val="000000"/>
                <w:szCs w:val="21"/>
              </w:rPr>
            </w:pPr>
            <w:r>
              <w:rPr>
                <w:rFonts w:hint="eastAsia"/>
                <w:color w:val="000000"/>
                <w:szCs w:val="21"/>
              </w:rPr>
              <w:t>O：服装（校服）、床上用品（棉被、棉垫、床单、被罩）的销售所涉及场所相关的职业健康安全管理活动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rFonts w:hint="eastAsia" w:ascii="宋体" w:hAnsi="宋体" w:cs="宋体"/>
                <w:color w:val="000000"/>
                <w:kern w:val="0"/>
                <w:szCs w:val="21"/>
              </w:rPr>
              <w:t>河北省衡水市饶阳县大尹村镇大迁民村38号</w:t>
            </w:r>
            <w:bookmarkEnd w:id="3"/>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ascii="宋体" w:hAnsi="宋体" w:cs="宋体"/>
                <w:color w:val="000000"/>
                <w:kern w:val="0"/>
                <w:szCs w:val="21"/>
              </w:rPr>
              <w:t>河北省衡水市饶阳县大尹村镇大迁民村38号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rPr>
              <w:t>生产/服务流程图：</w:t>
            </w:r>
          </w:p>
          <w:p>
            <w: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
            <w:pPr>
              <w:pStyle w:val="2"/>
            </w:pPr>
            <w:r>
              <w:rPr>
                <w:rFonts w:hint="eastAsia"/>
                <w:sz w:val="28"/>
                <w:szCs w:val="28"/>
              </w:rPr>
              <w:t>顾客需求-合同评审-签订合同-产品采购-</w:t>
            </w:r>
            <w:r>
              <w:rPr>
                <w:rFonts w:hint="eastAsia"/>
                <w:sz w:val="28"/>
                <w:szCs w:val="28"/>
                <w:lang w:val="en-US" w:eastAsia="zh-CN"/>
              </w:rPr>
              <w:t>供方发货</w:t>
            </w:r>
            <w:r>
              <w:rPr>
                <w:rFonts w:hint="eastAsia"/>
                <w:sz w:val="28"/>
                <w:szCs w:val="28"/>
              </w:rPr>
              <w:t>-</w:t>
            </w:r>
            <w:r>
              <w:rPr>
                <w:rFonts w:hint="eastAsia"/>
                <w:sz w:val="28"/>
                <w:szCs w:val="28"/>
                <w:lang w:val="en-US" w:eastAsia="zh-CN"/>
              </w:rPr>
              <w:t>客户验收</w:t>
            </w:r>
            <w:r>
              <w:rPr>
                <w:rFonts w:hint="eastAsia"/>
                <w:sz w:val="28"/>
                <w:szCs w:val="28"/>
              </w:rPr>
              <w:t>-售后服务。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lang w:val="en-US" w:eastAsia="zh-CN"/>
              </w:rPr>
            </w:pPr>
            <w:r>
              <w:rPr>
                <w:rFonts w:hint="eastAsia"/>
                <w:color w:val="000000"/>
                <w:szCs w:val="21"/>
              </w:rPr>
              <w:t>认证范围内管理体系覆盖的人数（总计人）　</w:t>
            </w:r>
            <w:r>
              <w:rPr>
                <w:rFonts w:hint="eastAsia"/>
                <w:color w:val="000000"/>
                <w:szCs w:val="21"/>
                <w:lang w:val="en-US" w:eastAsia="zh-CN"/>
              </w:rPr>
              <w:t>8</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3</w:t>
            </w:r>
            <w:r>
              <w:rPr>
                <w:rFonts w:hint="eastAsia"/>
                <w:color w:val="000000"/>
                <w:szCs w:val="21"/>
              </w:rPr>
              <w:t>人</w:t>
            </w:r>
            <w:r>
              <w:rPr>
                <w:rFonts w:hint="eastAsia"/>
                <w:color w:val="000000"/>
                <w:szCs w:val="18"/>
              </w:rPr>
              <w:t>；操作人员</w:t>
            </w:r>
            <w:r>
              <w:rPr>
                <w:rFonts w:hint="eastAsia"/>
                <w:color w:val="000000"/>
                <w:szCs w:val="18"/>
                <w:lang w:val="en-US" w:eastAsia="zh-CN"/>
              </w:rPr>
              <w:t>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3</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3</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autoSpaceDE w:val="0"/>
              <w:autoSpaceDN w:val="0"/>
              <w:adjustRightInd w:val="0"/>
              <w:spacing w:line="360" w:lineRule="auto"/>
              <w:jc w:val="left"/>
              <w:rPr>
                <w:rFonts w:hint="eastAsia" w:ascii="宋体" w:hAnsi="宋体" w:cs="宋体"/>
                <w:b/>
                <w:bCs/>
                <w:kern w:val="0"/>
                <w:sz w:val="24"/>
              </w:rPr>
            </w:pPr>
            <w:r>
              <w:rPr>
                <w:rFonts w:hint="eastAsia" w:ascii="宋体" w:hAnsi="宋体" w:cs="宋体"/>
                <w:b/>
                <w:bCs/>
                <w:kern w:val="0"/>
                <w:sz w:val="24"/>
              </w:rPr>
              <w:t>质量方针</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把握市场靠质量</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客户满意靠真诚</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持续改进靠管理</w:t>
            </w:r>
          </w:p>
          <w:p>
            <w:pPr>
              <w:autoSpaceDE w:val="0"/>
              <w:autoSpaceDN w:val="0"/>
              <w:adjustRightInd w:val="0"/>
              <w:spacing w:line="360" w:lineRule="auto"/>
              <w:jc w:val="left"/>
              <w:rPr>
                <w:rFonts w:hint="eastAsia" w:ascii="宋体" w:hAnsi="宋体" w:cs="宋体"/>
                <w:b/>
                <w:bCs/>
                <w:kern w:val="0"/>
                <w:sz w:val="24"/>
              </w:rPr>
            </w:pPr>
          </w:p>
          <w:p>
            <w:pPr>
              <w:autoSpaceDE w:val="0"/>
              <w:autoSpaceDN w:val="0"/>
              <w:adjustRightInd w:val="0"/>
              <w:spacing w:line="360" w:lineRule="auto"/>
              <w:jc w:val="left"/>
              <w:rPr>
                <w:rFonts w:hint="eastAsia" w:ascii="宋体" w:hAnsi="宋体" w:cs="宋体"/>
                <w:b/>
                <w:bCs/>
                <w:kern w:val="0"/>
                <w:sz w:val="24"/>
              </w:rPr>
            </w:pPr>
            <w:r>
              <w:rPr>
                <w:rFonts w:hint="eastAsia" w:ascii="宋体" w:hAnsi="宋体" w:cs="宋体"/>
                <w:b/>
                <w:bCs/>
                <w:kern w:val="0"/>
                <w:sz w:val="24"/>
              </w:rPr>
              <w:t>环境方针</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遵守法律法规；节能降耗减排</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增强环保意识；实现持续发展</w:t>
            </w:r>
          </w:p>
          <w:p>
            <w:pPr>
              <w:autoSpaceDE w:val="0"/>
              <w:autoSpaceDN w:val="0"/>
              <w:adjustRightInd w:val="0"/>
              <w:spacing w:line="360" w:lineRule="auto"/>
              <w:jc w:val="left"/>
              <w:rPr>
                <w:rFonts w:hint="eastAsia" w:ascii="宋体" w:hAnsi="宋体" w:cs="宋体"/>
                <w:b/>
                <w:bCs/>
                <w:kern w:val="0"/>
                <w:sz w:val="24"/>
              </w:rPr>
            </w:pPr>
          </w:p>
          <w:p>
            <w:pPr>
              <w:autoSpaceDE w:val="0"/>
              <w:autoSpaceDN w:val="0"/>
              <w:adjustRightInd w:val="0"/>
              <w:spacing w:line="360" w:lineRule="auto"/>
              <w:jc w:val="left"/>
              <w:rPr>
                <w:rFonts w:hint="eastAsia" w:ascii="宋体" w:hAnsi="宋体" w:cs="宋体"/>
                <w:b/>
                <w:bCs/>
                <w:kern w:val="0"/>
                <w:sz w:val="24"/>
              </w:rPr>
            </w:pPr>
            <w:r>
              <w:rPr>
                <w:rFonts w:hint="eastAsia" w:ascii="宋体" w:hAnsi="宋体" w:cs="宋体"/>
                <w:b/>
                <w:bCs/>
                <w:kern w:val="0"/>
                <w:sz w:val="24"/>
              </w:rPr>
              <w:t>职业健康安全管理方针</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保障健康  安全服务</w:t>
            </w:r>
          </w:p>
          <w:p>
            <w:pPr>
              <w:autoSpaceDE w:val="0"/>
              <w:autoSpaceDN w:val="0"/>
              <w:adjustRightInd w:val="0"/>
              <w:spacing w:line="360" w:lineRule="auto"/>
              <w:jc w:val="left"/>
              <w:rPr>
                <w:rFonts w:hint="eastAsia" w:ascii="宋体" w:hAnsi="宋体" w:cs="宋体"/>
                <w:b w:val="0"/>
                <w:bCs w:val="0"/>
                <w:kern w:val="0"/>
                <w:sz w:val="24"/>
              </w:rPr>
            </w:pPr>
            <w:r>
              <w:rPr>
                <w:rFonts w:hint="eastAsia" w:ascii="宋体" w:hAnsi="宋体" w:cs="宋体"/>
                <w:b w:val="0"/>
                <w:bCs w:val="0"/>
                <w:kern w:val="0"/>
                <w:sz w:val="24"/>
              </w:rPr>
              <w:t>以人为本  永续发展</w:t>
            </w:r>
          </w:p>
          <w:p>
            <w:pPr>
              <w:autoSpaceDE w:val="0"/>
              <w:autoSpaceDN w:val="0"/>
              <w:adjustRightInd w:val="0"/>
              <w:spacing w:line="360" w:lineRule="auto"/>
              <w:jc w:val="left"/>
            </w:pPr>
            <w:r>
              <w:rPr>
                <w:rFonts w:hint="eastAsia" w:ascii="宋体" w:hAnsi="宋体" w:cs="宋体"/>
                <w:b w:val="0"/>
                <w:bCs w:val="0"/>
                <w:kern w:val="0"/>
                <w:sz w:val="24"/>
              </w:rPr>
              <w:t>遵守法规  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1、固体废弃物分类处理率达100%</w:t>
                  </w:r>
                </w:p>
              </w:tc>
              <w:tc>
                <w:tcPr>
                  <w:tcW w:w="1387"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3次</w:t>
                  </w:r>
                </w:p>
                <w:p>
                  <w:pPr>
                    <w:rPr>
                      <w:rFonts w:hint="eastAsia" w:ascii="Times New Roman" w:hAnsi="Times New Roman" w:eastAsia="宋体" w:cs="Times New Roman"/>
                      <w:bCs/>
                      <w:sz w:val="24"/>
                    </w:rPr>
                  </w:pP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bCs/>
                      <w:sz w:val="24"/>
                    </w:rPr>
                    <w:t>固废能及时进行分类，处理率达到100%</w:t>
                  </w:r>
                </w:p>
              </w:tc>
              <w:tc>
                <w:tcPr>
                  <w:tcW w:w="2444" w:type="dxa"/>
                </w:tcPr>
                <w:p>
                  <w:pPr>
                    <w:widowControl/>
                    <w:spacing w:before="40"/>
                    <w:jc w:val="left"/>
                    <w:rPr>
                      <w:color w:val="000000"/>
                      <w:szCs w:val="18"/>
                      <w:highlight w:val="cyan"/>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1、杜绝火灾触电事故；</w:t>
                  </w:r>
                </w:p>
              </w:tc>
              <w:tc>
                <w:tcPr>
                  <w:tcW w:w="1387"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0</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bCs/>
                      <w:sz w:val="24"/>
                    </w:rPr>
                    <w:t>重大安全事故和伤亡事故发生次数</w:t>
                  </w:r>
                </w:p>
              </w:tc>
              <w:tc>
                <w:tcPr>
                  <w:tcW w:w="2444" w:type="dxa"/>
                </w:tcPr>
                <w:p>
                  <w:pPr>
                    <w:widowControl/>
                    <w:spacing w:before="40"/>
                    <w:jc w:val="left"/>
                    <w:rPr>
                      <w:color w:val="000000"/>
                      <w:szCs w:val="18"/>
                      <w:highlight w:val="cyan"/>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1、产品交付顾客验收合格率100%；</w:t>
                  </w:r>
                </w:p>
              </w:tc>
              <w:tc>
                <w:tcPr>
                  <w:tcW w:w="1387" w:type="dxa"/>
                </w:tcPr>
                <w:p>
                  <w:pP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4次</w:t>
                  </w:r>
                </w:p>
                <w:p>
                  <w:pPr>
                    <w:rPr>
                      <w:rFonts w:hint="eastAsia" w:ascii="Times New Roman" w:hAnsi="Times New Roman" w:eastAsia="宋体" w:cs="Times New Roman"/>
                      <w:bCs/>
                      <w:sz w:val="24"/>
                    </w:rPr>
                  </w:pP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ascii="宋体" w:hAnsi="宋体"/>
                      <w:sz w:val="24"/>
                    </w:rPr>
                    <w:t>合格批次/交付批次</w:t>
                  </w:r>
                </w:p>
              </w:tc>
              <w:tc>
                <w:tcPr>
                  <w:tcW w:w="2444" w:type="dxa"/>
                </w:tcPr>
                <w:p>
                  <w:pPr>
                    <w:widowControl/>
                    <w:spacing w:before="40"/>
                    <w:jc w:val="left"/>
                    <w:rPr>
                      <w:color w:val="000000"/>
                      <w:szCs w:val="18"/>
                      <w:highlight w:val="cyan"/>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2、顾客满意度≥90%；</w:t>
                  </w:r>
                </w:p>
              </w:tc>
              <w:tc>
                <w:tcPr>
                  <w:tcW w:w="1387"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bCs/>
                      <w:sz w:val="24"/>
                    </w:rPr>
                    <w:t>顾客满意数/接受服务满意度调查的顾客数，按公式求百分率</w:t>
                  </w:r>
                </w:p>
              </w:tc>
              <w:tc>
                <w:tcPr>
                  <w:tcW w:w="2444" w:type="dxa"/>
                </w:tcPr>
                <w:p>
                  <w:pPr>
                    <w:widowControl/>
                    <w:spacing w:before="40"/>
                    <w:jc w:val="left"/>
                    <w:rPr>
                      <w:color w:val="000000"/>
                      <w:szCs w:val="18"/>
                      <w:highlight w:val="cyan"/>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3、销售服务质量考核合格率≥95%</w:t>
                  </w:r>
                </w:p>
              </w:tc>
              <w:tc>
                <w:tcPr>
                  <w:tcW w:w="1387" w:type="dxa"/>
                </w:tcPr>
                <w:p>
                  <w:pPr>
                    <w:rPr>
                      <w:rFonts w:hint="eastAsia" w:ascii="Times New Roman" w:hAnsi="Times New Roman" w:eastAsia="宋体" w:cs="Times New Roman"/>
                      <w:bCs/>
                      <w:sz w:val="24"/>
                    </w:rPr>
                  </w:pPr>
                  <w:r>
                    <w:rPr>
                      <w:rFonts w:hint="eastAsia" w:ascii="Times New Roman" w:hAnsi="Times New Roman" w:eastAsia="宋体" w:cs="Times New Roman"/>
                      <w:bCs/>
                      <w:sz w:val="24"/>
                    </w:rPr>
                    <w:t>4次</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2444" w:type="dxa"/>
                </w:tcPr>
                <w:p>
                  <w:pPr>
                    <w:widowControl/>
                    <w:spacing w:before="40"/>
                    <w:jc w:val="left"/>
                    <w:rPr>
                      <w:color w:val="000000"/>
                      <w:szCs w:val="18"/>
                      <w:highlight w:val="cyan"/>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74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8-9</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12</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rFonts w:hint="eastAsia"/>
                <w:color w:val="000000"/>
                <w:szCs w:val="18"/>
              </w:rPr>
            </w:pPr>
            <w:r>
              <w:rPr>
                <w:rFonts w:hint="eastAsia"/>
                <w:color w:val="000000"/>
                <w:szCs w:val="18"/>
              </w:rPr>
              <w:t>合理理由的详细说明：</w:t>
            </w:r>
          </w:p>
          <w:p>
            <w:pPr>
              <w:rPr>
                <w:color w:val="000000"/>
                <w:szCs w:val="18"/>
              </w:rPr>
            </w:pPr>
            <w:r>
              <w:rPr>
                <w:rFonts w:hint="eastAsia"/>
                <w:color w:val="000000"/>
                <w:szCs w:val="18"/>
              </w:rPr>
              <w:t>本公司目前所销售产品市场稳定，无设计开发责任。不适用8.3条款不影响公司确保其产品和服务合格以及增强顾客满意的能力或责任。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销售服务过程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 xml:space="preserve">客户要求、□国际标准、□国家标准、□行业标准、□地方标准、□企业标准、□企业技术规范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满意</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制度文件、绩效考核表</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2022.3.11.火灾应急演习；</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rFonts w:hint="default" w:eastAsia="宋体"/>
                <w:color w:val="000000"/>
                <w:szCs w:val="18"/>
                <w:lang w:val="en-US" w:eastAsia="zh-CN"/>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r>
              <w:rPr>
                <w:rFonts w:hint="eastAsia"/>
                <w:color w:val="000000"/>
                <w:lang w:val="en-US" w:eastAsia="zh-CN"/>
              </w:rPr>
              <w:t>农村民房</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2022.2.15.触电事故应急演习；2022.3.11.火灾应急演习；</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rFonts w:hint="default" w:eastAsia="宋体"/>
                <w:color w:val="000000"/>
                <w:lang w:val="en-US" w:eastAsia="zh-CN"/>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val="en-US" w:eastAsia="zh-CN"/>
              </w:rPr>
              <w:t>灭火器压力正常</w:t>
            </w:r>
            <w:bookmarkStart w:id="4" w:name="_GoBack"/>
            <w:bookmarkEnd w:id="4"/>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其他——洗手液、口罩</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CE7C82"/>
    <w:rsid w:val="05AD3936"/>
    <w:rsid w:val="08BE151D"/>
    <w:rsid w:val="097D5C8D"/>
    <w:rsid w:val="0B1571D1"/>
    <w:rsid w:val="0C2B3807"/>
    <w:rsid w:val="0C452F4F"/>
    <w:rsid w:val="0C6D1703"/>
    <w:rsid w:val="0CC41D6A"/>
    <w:rsid w:val="0DA470A4"/>
    <w:rsid w:val="158D55F1"/>
    <w:rsid w:val="17337667"/>
    <w:rsid w:val="17F93B83"/>
    <w:rsid w:val="18B529EC"/>
    <w:rsid w:val="1C5B0E23"/>
    <w:rsid w:val="1C6D30F9"/>
    <w:rsid w:val="1E42510C"/>
    <w:rsid w:val="1F312D11"/>
    <w:rsid w:val="20D85D84"/>
    <w:rsid w:val="23C44815"/>
    <w:rsid w:val="259A64BF"/>
    <w:rsid w:val="270311B0"/>
    <w:rsid w:val="285919D0"/>
    <w:rsid w:val="2CFA310A"/>
    <w:rsid w:val="2E0C56DD"/>
    <w:rsid w:val="2F103332"/>
    <w:rsid w:val="2F4D1B62"/>
    <w:rsid w:val="301A75C9"/>
    <w:rsid w:val="31032695"/>
    <w:rsid w:val="31735FEC"/>
    <w:rsid w:val="33174961"/>
    <w:rsid w:val="34E34E96"/>
    <w:rsid w:val="37965F2C"/>
    <w:rsid w:val="3B3360B0"/>
    <w:rsid w:val="3B58708C"/>
    <w:rsid w:val="3BF70E8C"/>
    <w:rsid w:val="3C576ECB"/>
    <w:rsid w:val="3CE961A9"/>
    <w:rsid w:val="3FA31C46"/>
    <w:rsid w:val="412C50C3"/>
    <w:rsid w:val="412F2E76"/>
    <w:rsid w:val="41D32361"/>
    <w:rsid w:val="426F610E"/>
    <w:rsid w:val="430D41F1"/>
    <w:rsid w:val="444E1FE5"/>
    <w:rsid w:val="45995E12"/>
    <w:rsid w:val="4CC528E0"/>
    <w:rsid w:val="4D891B60"/>
    <w:rsid w:val="4E9C3B15"/>
    <w:rsid w:val="4EF83441"/>
    <w:rsid w:val="4FED51F2"/>
    <w:rsid w:val="50A93812"/>
    <w:rsid w:val="50AE254C"/>
    <w:rsid w:val="52232122"/>
    <w:rsid w:val="53EE3D1F"/>
    <w:rsid w:val="575F5C80"/>
    <w:rsid w:val="58831FCD"/>
    <w:rsid w:val="58F92290"/>
    <w:rsid w:val="5CF60894"/>
    <w:rsid w:val="5D0F7967"/>
    <w:rsid w:val="5F00062B"/>
    <w:rsid w:val="5F7268F8"/>
    <w:rsid w:val="63191181"/>
    <w:rsid w:val="63C477DE"/>
    <w:rsid w:val="63C56E25"/>
    <w:rsid w:val="647F0746"/>
    <w:rsid w:val="64AD6436"/>
    <w:rsid w:val="64F424D0"/>
    <w:rsid w:val="671A0866"/>
    <w:rsid w:val="69A25812"/>
    <w:rsid w:val="6BA426B2"/>
    <w:rsid w:val="6E675C54"/>
    <w:rsid w:val="6FC17977"/>
    <w:rsid w:val="725943B7"/>
    <w:rsid w:val="726803A5"/>
    <w:rsid w:val="75351DC2"/>
    <w:rsid w:val="779524DF"/>
    <w:rsid w:val="7836450F"/>
    <w:rsid w:val="79010DD8"/>
    <w:rsid w:val="7AAA5D42"/>
    <w:rsid w:val="7BD007D6"/>
    <w:rsid w:val="7CE72230"/>
    <w:rsid w:val="7D3B4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13</TotalTime>
  <ScaleCrop>false</ScaleCrop>
  <LinksUpToDate>false</LinksUpToDate>
  <CharactersWithSpaces>13072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2022-05-05T09:41:47Z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ies>
</file>