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 xml:space="preserve">EMS  </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695"/>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517" w:type="dxa"/>
            <w:gridSpan w:val="4"/>
            <w:tcBorders>
              <w:top w:val="single" w:color="auto" w:sz="8" w:space="0"/>
            </w:tcBorders>
            <w:vAlign w:val="center"/>
          </w:tcPr>
          <w:p>
            <w:pPr>
              <w:snapToGrid w:val="0"/>
              <w:spacing w:line="280" w:lineRule="exact"/>
              <w:jc w:val="center"/>
              <w:rPr>
                <w:b/>
                <w:sz w:val="20"/>
              </w:rPr>
            </w:pPr>
            <w:r>
              <w:rPr>
                <w:rFonts w:hint="eastAsia"/>
                <w:b/>
                <w:sz w:val="20"/>
              </w:rPr>
              <w:t>浙江尖峰健康科技有限公司</w:t>
            </w:r>
          </w:p>
        </w:tc>
        <w:tc>
          <w:tcPr>
            <w:tcW w:w="1529"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rPr>
                <w:b/>
                <w:sz w:val="20"/>
              </w:rPr>
            </w:pPr>
            <w:r>
              <w:t>13.02.00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sz w:val="21"/>
                <w:szCs w:val="21"/>
              </w:rPr>
              <w:t>林军</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695"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药物制剂的制造</w:t>
            </w:r>
          </w:p>
        </w:tc>
        <w:tc>
          <w:tcPr>
            <w:tcW w:w="1529" w:type="dxa"/>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方小娥</w:t>
            </w:r>
          </w:p>
        </w:tc>
        <w:tc>
          <w:tcPr>
            <w:tcW w:w="1414" w:type="dxa"/>
            <w:vAlign w:val="center"/>
          </w:tcPr>
          <w:p>
            <w:pPr>
              <w:snapToGrid w:val="0"/>
              <w:spacing w:line="360" w:lineRule="exact"/>
              <w:jc w:val="center"/>
              <w:rPr>
                <w:rFonts w:hint="eastAsia" w:eastAsia="宋体"/>
                <w:b/>
                <w:sz w:val="20"/>
                <w:lang w:val="en-US" w:eastAsia="zh-CN"/>
              </w:rPr>
            </w:pPr>
          </w:p>
        </w:tc>
        <w:tc>
          <w:tcPr>
            <w:tcW w:w="1289" w:type="dxa"/>
            <w:vAlign w:val="center"/>
          </w:tcPr>
          <w:p>
            <w:pPr>
              <w:snapToGrid w:val="0"/>
              <w:spacing w:line="360" w:lineRule="exact"/>
              <w:jc w:val="center"/>
              <w:rPr>
                <w:rFonts w:hint="eastAsia" w:eastAsia="宋体"/>
                <w:b/>
                <w:sz w:val="20"/>
                <w:lang w:val="en-US" w:eastAsia="zh-CN"/>
              </w:rPr>
            </w:pPr>
          </w:p>
        </w:tc>
        <w:tc>
          <w:tcPr>
            <w:tcW w:w="1695" w:type="dxa"/>
            <w:vAlign w:val="center"/>
          </w:tcPr>
          <w:p>
            <w:pPr>
              <w:snapToGrid w:val="0"/>
              <w:spacing w:line="360" w:lineRule="exact"/>
              <w:jc w:val="center"/>
              <w:rPr>
                <w:b/>
                <w:sz w:val="20"/>
              </w:rPr>
            </w:pPr>
          </w:p>
        </w:tc>
        <w:tc>
          <w:tcPr>
            <w:tcW w:w="1529" w:type="dxa"/>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
                <w:sz w:val="20"/>
              </w:rPr>
              <w:t>破碎→提取→浓缩I→水沉→离心→膜过滤→上柱→水洗→醇洗→收集→脱酸→浓缩Ⅱ→喷雾干燥→混合过筛→计量包装→金属检测→外包装→入库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6"/>
            <w:vAlign w:val="center"/>
          </w:tcPr>
          <w:p>
            <w:pPr>
              <w:snapToGrid w:val="0"/>
              <w:spacing w:line="280" w:lineRule="exact"/>
              <w:jc w:val="both"/>
              <w:rPr>
                <w:rFonts w:hint="eastAsia" w:ascii="宋体" w:hAnsi="宋体"/>
                <w:sz w:val="21"/>
                <w:szCs w:val="21"/>
                <w:lang w:val="en-US" w:eastAsia="zh-CN"/>
              </w:rPr>
            </w:pPr>
            <w:r>
              <w:rPr>
                <w:rFonts w:hint="eastAsia" w:ascii="宋体" w:hAnsi="宋体"/>
                <w:sz w:val="21"/>
                <w:szCs w:val="21"/>
                <w:lang w:val="en-US" w:eastAsia="zh-CN"/>
              </w:rPr>
              <w:t>1.粉碎过程布袋除尘收集的粉尘、废包装材料、污水处理污泥和废活性炭的排放——粉碎过程布袋除尘收集的粉尘和蔗糖脂肪酸酯反应废渣经处理后回用于生产，均回用于酯交换工序中：废包装材料、污水处理污泥和生活垃圾委托杭州洁美昌盛保洁服务有限公司处置：废活性炭委托杭州沈达环境科技有限公司处置。</w:t>
            </w:r>
          </w:p>
          <w:p>
            <w:pPr>
              <w:snapToGrid w:val="0"/>
              <w:spacing w:line="280" w:lineRule="exact"/>
              <w:jc w:val="both"/>
              <w:rPr>
                <w:rFonts w:hint="eastAsia" w:ascii="宋体" w:hAnsi="宋体"/>
                <w:sz w:val="21"/>
                <w:szCs w:val="21"/>
                <w:lang w:val="en-US" w:eastAsia="zh-CN"/>
              </w:rPr>
            </w:pPr>
            <w:r>
              <w:rPr>
                <w:rFonts w:hint="eastAsia" w:ascii="宋体" w:hAnsi="宋体"/>
                <w:sz w:val="21"/>
                <w:szCs w:val="21"/>
                <w:lang w:val="en-US" w:eastAsia="zh-CN"/>
              </w:rPr>
              <w:t>2.设备清洗废水、蒸汽冷凝废水、冷却废水、冷冻废水排放——进入污水管道处理达标排放。</w:t>
            </w:r>
          </w:p>
          <w:p>
            <w:pPr>
              <w:snapToGrid w:val="0"/>
              <w:spacing w:line="280" w:lineRule="exact"/>
              <w:jc w:val="both"/>
              <w:rPr>
                <w:rFonts w:hint="eastAsia" w:ascii="宋体" w:hAnsi="宋体"/>
                <w:sz w:val="21"/>
                <w:szCs w:val="21"/>
                <w:lang w:val="en-US" w:eastAsia="zh-CN"/>
              </w:rPr>
            </w:pPr>
            <w:r>
              <w:rPr>
                <w:rFonts w:hint="eastAsia" w:ascii="宋体" w:hAnsi="宋体"/>
                <w:sz w:val="21"/>
                <w:szCs w:val="21"/>
                <w:lang w:val="en-US" w:eastAsia="zh-CN"/>
              </w:rPr>
              <w:t>3.甲醇气体、乙醇气体的挥发；粉碎粉尘、污水站恶臭；锅炉燃烧废气排放——①甲醇气体经全封闭冷凝回收后再经车问内的活性炭管处理后无组织排放。②乙醇气体经冷凝回收后无组织排放。③粉碎粉尘经布袋除尘器收集除尘后在车问内无组织排放。④燃天然气废气通过15米高排气筒高空排放。⑤对污水处理构筑物加盖密封，污水站废气收集后经活性炭吸附处理后通过20米高排气筒排放。</w:t>
            </w:r>
          </w:p>
          <w:p>
            <w:pPr>
              <w:snapToGrid w:val="0"/>
              <w:spacing w:line="280" w:lineRule="exact"/>
              <w:jc w:val="both"/>
              <w:rPr>
                <w:rFonts w:hint="default" w:ascii="宋体" w:hAnsi="宋体"/>
                <w:sz w:val="21"/>
                <w:szCs w:val="21"/>
                <w:lang w:val="en-US" w:eastAsia="zh-CN"/>
              </w:rPr>
            </w:pPr>
            <w:r>
              <w:rPr>
                <w:rFonts w:hint="eastAsia" w:ascii="宋体" w:hAnsi="宋体"/>
                <w:sz w:val="21"/>
                <w:szCs w:val="21"/>
                <w:lang w:val="en-US" w:eastAsia="zh-CN"/>
              </w:rPr>
              <w:t>4.噪声的排放——加强对设备的维护保养，杜绝带病作业的设备；在更新设备时考虑采用低噪音、低能耗的设备</w:t>
            </w:r>
          </w:p>
          <w:p>
            <w:pPr>
              <w:snapToGrid w:val="0"/>
              <w:spacing w:line="280" w:lineRule="exact"/>
              <w:jc w:val="both"/>
              <w:rPr>
                <w:rFonts w:hint="eastAsia" w:ascii="宋体" w:hAnsi="宋体"/>
                <w:sz w:val="21"/>
                <w:szCs w:val="21"/>
                <w:lang w:val="en-US" w:eastAsia="zh-CN"/>
              </w:rPr>
            </w:pPr>
            <w:r>
              <w:rPr>
                <w:rFonts w:hint="eastAsia" w:ascii="宋体" w:hAnsi="宋体"/>
                <w:sz w:val="21"/>
                <w:szCs w:val="21"/>
                <w:lang w:val="en-US" w:eastAsia="zh-CN"/>
              </w:rPr>
              <w:t>5.化学品泄漏——环境管理方案、应急准备和响应程序</w:t>
            </w:r>
          </w:p>
          <w:p>
            <w:pPr>
              <w:snapToGrid w:val="0"/>
              <w:spacing w:line="280" w:lineRule="exact"/>
              <w:jc w:val="both"/>
              <w:rPr>
                <w:rFonts w:hint="eastAsia" w:ascii="宋体" w:hAnsi="宋体" w:eastAsia="宋体" w:cs="Times New Roman"/>
                <w:lang w:val="en-US" w:eastAsia="zh-CN"/>
              </w:rPr>
            </w:pPr>
            <w:r>
              <w:rPr>
                <w:rFonts w:hint="eastAsia" w:ascii="宋体" w:hAnsi="宋体"/>
                <w:sz w:val="21"/>
                <w:szCs w:val="21"/>
                <w:lang w:val="en-US" w:eastAsia="zh-CN"/>
              </w:rPr>
              <w:t>6.潜在火灾——环境管理方案、应急准备和响应程序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6"/>
            <w:vAlign w:val="center"/>
          </w:tcPr>
          <w:p>
            <w:pPr>
              <w:snapToGrid w:val="0"/>
              <w:spacing w:line="280" w:lineRule="exact"/>
              <w:jc w:val="left"/>
              <w:rPr>
                <w:rFonts w:hint="default" w:eastAsia="宋体"/>
                <w:b/>
                <w:sz w:val="20"/>
                <w:lang w:val="en-US" w:eastAsia="zh-CN"/>
              </w:rPr>
            </w:pPr>
            <w:r>
              <w:rPr>
                <w:rFonts w:hint="eastAsia"/>
                <w:b/>
                <w:sz w:val="20"/>
                <w:lang w:eastAsia="zh-CN"/>
              </w:rPr>
              <w:t>《中华人民共和国环境保护法》、《中华人民共和国环境影响评价法》、《中华人民共和国固体废物污染环境防治法》、《中华人民共和国水污染防治法》、《中华人民共和国大气污染防治法》、《危险化学品安全管理条例》、《大气污染物综合排放标准》、《污水综合排放标准》、《工业企业厂界环境噪音排放标准》</w:t>
            </w:r>
            <w:r>
              <w:rPr>
                <w:rFonts w:hint="eastAsia"/>
                <w:b/>
                <w:sz w:val="20"/>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6"/>
            <w:vAlign w:val="center"/>
          </w:tcPr>
          <w:p>
            <w:pPr>
              <w:snapToGrid w:val="0"/>
              <w:spacing w:line="280" w:lineRule="exact"/>
              <w:jc w:val="left"/>
              <w:rPr>
                <w:b/>
                <w:sz w:val="20"/>
              </w:rPr>
            </w:pPr>
            <w:r>
              <w:rPr>
                <w:rFonts w:hint="eastAsia"/>
                <w:b/>
                <w:sz w:val="20"/>
                <w:lang w:val="en-US" w:eastAsia="zh-CN"/>
              </w:rPr>
              <w:t>报告编号：</w:t>
            </w:r>
            <w:r>
              <w:rPr>
                <w:rFonts w:hint="eastAsia"/>
                <w:b/>
                <w:sz w:val="20"/>
              </w:rPr>
              <w:t>HYJC/HJ2106004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203200</wp:posOffset>
                  </wp:positionH>
                  <wp:positionV relativeFrom="paragraph">
                    <wp:posOffset>160655</wp:posOffset>
                  </wp:positionV>
                  <wp:extent cx="1108075" cy="585470"/>
                  <wp:effectExtent l="0" t="0" r="9525" b="11430"/>
                  <wp:wrapSquare wrapText="bothSides"/>
                  <wp:docPr id="5" name="图片 5" descr="林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军"/>
                          <pic:cNvPicPr>
                            <a:picLocks noChangeAspect="1"/>
                          </pic:cNvPicPr>
                        </pic:nvPicPr>
                        <pic:blipFill>
                          <a:blip r:embed="rId5"/>
                          <a:stretch>
                            <a:fillRect/>
                          </a:stretch>
                        </pic:blipFill>
                        <pic:spPr>
                          <a:xfrm>
                            <a:off x="0" y="0"/>
                            <a:ext cx="1108075" cy="585470"/>
                          </a:xfrm>
                          <a:prstGeom prst="rect">
                            <a:avLst/>
                          </a:prstGeom>
                        </pic:spPr>
                      </pic:pic>
                    </a:graphicData>
                  </a:graphic>
                </wp:anchor>
              </w:drawing>
            </w:r>
          </w:p>
        </w:tc>
        <w:tc>
          <w:tcPr>
            <w:tcW w:w="2984" w:type="dxa"/>
            <w:gridSpan w:val="2"/>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b/>
                <w:sz w:val="20"/>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335280</wp:posOffset>
                  </wp:positionH>
                  <wp:positionV relativeFrom="paragraph">
                    <wp:posOffset>139700</wp:posOffset>
                  </wp:positionV>
                  <wp:extent cx="919480" cy="701675"/>
                  <wp:effectExtent l="0" t="0" r="7620" b="9525"/>
                  <wp:wrapSquare wrapText="bothSides"/>
                  <wp:docPr id="1" name="图片 1"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国标联合"/>
                          <pic:cNvPicPr>
                            <a:picLocks noChangeAspect="1"/>
                          </pic:cNvPicPr>
                        </pic:nvPicPr>
                        <pic:blipFill>
                          <a:blip r:embed="rId6"/>
                          <a:stretch>
                            <a:fillRect/>
                          </a:stretch>
                        </pic:blipFill>
                        <pic:spPr>
                          <a:xfrm>
                            <a:off x="0" y="0"/>
                            <a:ext cx="919480" cy="701675"/>
                          </a:xfrm>
                          <a:prstGeom prst="rect">
                            <a:avLst/>
                          </a:prstGeom>
                        </pic:spPr>
                      </pic:pic>
                    </a:graphicData>
                  </a:graphic>
                </wp:anchor>
              </w:drawing>
            </w:r>
          </w:p>
        </w:tc>
        <w:tc>
          <w:tcPr>
            <w:tcW w:w="2984" w:type="dxa"/>
            <w:gridSpan w:val="2"/>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2022.5.18</w:t>
            </w:r>
          </w:p>
        </w:tc>
      </w:tr>
    </w:tbl>
    <w:p>
      <w:pPr>
        <w:snapToGrid w:val="0"/>
        <w:rPr>
          <w:rFonts w:hint="eastAsia" w:ascii="宋体"/>
          <w:b/>
          <w:spacing w:val="-6"/>
          <w:sz w:val="21"/>
          <w:szCs w:val="21"/>
        </w:rPr>
      </w:pPr>
      <w:bookmarkStart w:id="0" w:name="_GoBack"/>
      <w:bookmarkEnd w:id="0"/>
      <w:r>
        <w:rPr>
          <w:rFonts w:hint="eastAsia" w:ascii="宋体"/>
          <w:b/>
          <w:spacing w:val="-6"/>
          <w:sz w:val="21"/>
          <w:szCs w:val="21"/>
        </w:rPr>
        <w:t>注：如有其他培训内容或空格不够可另加附页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45" w:firstLineChars="450"/>
      <w:jc w:val="left"/>
      <w:rPr>
        <w:rStyle w:val="11"/>
        <w:rFonts w:hint="default"/>
      </w:rPr>
    </w:pPr>
    <w:r>
      <w:rPr>
        <w:rStyle w:val="11"/>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TMxNmFjM2JiM2E0NTA2NDBlNDc5ZjJlODAzODVlOTAifQ=="/>
  </w:docVars>
  <w:rsids>
    <w:rsidRoot w:val="00000000"/>
    <w:rsid w:val="07B17300"/>
    <w:rsid w:val="0EF17521"/>
    <w:rsid w:val="1782031A"/>
    <w:rsid w:val="2F3A2F36"/>
    <w:rsid w:val="38234F1A"/>
    <w:rsid w:val="384A4553"/>
    <w:rsid w:val="3C2B5E41"/>
    <w:rsid w:val="42793C60"/>
    <w:rsid w:val="4EAA7FE0"/>
    <w:rsid w:val="5C923B59"/>
    <w:rsid w:val="5DD76835"/>
    <w:rsid w:val="6F520F62"/>
    <w:rsid w:val="704E0A8D"/>
    <w:rsid w:val="7AF22FFA"/>
    <w:rsid w:val="7E001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40" w:lineRule="exact"/>
    </w:pPr>
    <w:rPr>
      <w:rFonts w:ascii="宋体" w:hAnsi="宋体"/>
      <w:sz w:val="28"/>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Words>
  <Characters>275</Characters>
  <Lines>2</Lines>
  <Paragraphs>1</Paragraphs>
  <TotalTime>0</TotalTime>
  <ScaleCrop>false</ScaleCrop>
  <LinksUpToDate>false</LinksUpToDate>
  <CharactersWithSpaces>322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wangxianhua</cp:lastModifiedBy>
  <dcterms:modified xsi:type="dcterms:W3CDTF">2022-05-20T03:03:24Z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2052-11.1.0.11365</vt:lpwstr>
  </property>
</Properties>
</file>