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D58" w:rsidRDefault="00E345E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874D58">
        <w:trPr>
          <w:trHeight w:val="430"/>
        </w:trPr>
        <w:tc>
          <w:tcPr>
            <w:tcW w:w="2160" w:type="dxa"/>
            <w:vMerge w:val="restart"/>
            <w:vAlign w:val="center"/>
          </w:tcPr>
          <w:p w:rsidR="00874D58" w:rsidRDefault="00E345ED">
            <w:pPr>
              <w:spacing w:before="120"/>
              <w:jc w:val="center"/>
              <w:rPr>
                <w:sz w:val="24"/>
                <w:szCs w:val="24"/>
              </w:rPr>
            </w:pPr>
            <w:r>
              <w:rPr>
                <w:rFonts w:hint="eastAsia"/>
                <w:sz w:val="24"/>
                <w:szCs w:val="24"/>
              </w:rPr>
              <w:t>过程与活动、</w:t>
            </w:r>
          </w:p>
          <w:p w:rsidR="00874D58" w:rsidRDefault="00E345ED">
            <w:pPr>
              <w:jc w:val="center"/>
              <w:rPr>
                <w:sz w:val="24"/>
                <w:szCs w:val="24"/>
              </w:rPr>
            </w:pPr>
            <w:r>
              <w:rPr>
                <w:rFonts w:hint="eastAsia"/>
                <w:sz w:val="24"/>
                <w:szCs w:val="24"/>
              </w:rPr>
              <w:t>抽样计划</w:t>
            </w:r>
          </w:p>
        </w:tc>
        <w:tc>
          <w:tcPr>
            <w:tcW w:w="960" w:type="dxa"/>
            <w:vMerge w:val="restart"/>
            <w:vAlign w:val="center"/>
          </w:tcPr>
          <w:p w:rsidR="00874D58" w:rsidRDefault="00E345ED">
            <w:pPr>
              <w:rPr>
                <w:sz w:val="24"/>
                <w:szCs w:val="24"/>
              </w:rPr>
            </w:pPr>
            <w:r>
              <w:rPr>
                <w:rFonts w:hint="eastAsia"/>
                <w:sz w:val="24"/>
                <w:szCs w:val="24"/>
              </w:rPr>
              <w:t>涉及</w:t>
            </w:r>
          </w:p>
          <w:p w:rsidR="00874D58" w:rsidRDefault="00E345ED">
            <w:pPr>
              <w:rPr>
                <w:sz w:val="24"/>
                <w:szCs w:val="24"/>
              </w:rPr>
            </w:pPr>
            <w:r>
              <w:rPr>
                <w:rFonts w:hint="eastAsia"/>
                <w:sz w:val="24"/>
                <w:szCs w:val="24"/>
              </w:rPr>
              <w:t>条款</w:t>
            </w:r>
          </w:p>
        </w:tc>
        <w:tc>
          <w:tcPr>
            <w:tcW w:w="10004" w:type="dxa"/>
            <w:vAlign w:val="center"/>
          </w:tcPr>
          <w:p w:rsidR="00874D58" w:rsidRDefault="00E345ED">
            <w:pPr>
              <w:rPr>
                <w:sz w:val="24"/>
                <w:szCs w:val="24"/>
              </w:rPr>
            </w:pPr>
            <w:r>
              <w:rPr>
                <w:rFonts w:hint="eastAsia"/>
                <w:sz w:val="24"/>
                <w:szCs w:val="24"/>
              </w:rPr>
              <w:t>受审核部门：</w:t>
            </w:r>
            <w:r>
              <w:rPr>
                <w:rFonts w:hint="eastAsia"/>
                <w:sz w:val="24"/>
                <w:szCs w:val="24"/>
              </w:rPr>
              <w:t>开发部（</w:t>
            </w:r>
            <w:r>
              <w:rPr>
                <w:rFonts w:hint="eastAsia"/>
                <w:sz w:val="24"/>
                <w:szCs w:val="24"/>
              </w:rPr>
              <w:t>含产品研发部、运营维护部、集成交付部、解决方案部</w:t>
            </w:r>
            <w:r>
              <w:rPr>
                <w:rFonts w:hint="eastAsia"/>
                <w:sz w:val="24"/>
                <w:szCs w:val="24"/>
              </w:rPr>
              <w:t>）</w:t>
            </w:r>
            <w:r>
              <w:rPr>
                <w:rFonts w:hint="eastAsia"/>
                <w:sz w:val="24"/>
                <w:szCs w:val="24"/>
              </w:rPr>
              <w:t xml:space="preserve"> </w:t>
            </w:r>
          </w:p>
          <w:p w:rsidR="00874D58" w:rsidRDefault="00E345ED">
            <w:pPr>
              <w:rPr>
                <w:sz w:val="24"/>
                <w:szCs w:val="24"/>
              </w:rPr>
            </w:pPr>
            <w:r>
              <w:rPr>
                <w:rFonts w:hint="eastAsia"/>
                <w:sz w:val="24"/>
                <w:szCs w:val="24"/>
              </w:rPr>
              <w:t>主管领导：</w:t>
            </w:r>
            <w:r>
              <w:rPr>
                <w:rFonts w:hint="eastAsia"/>
                <w:sz w:val="24"/>
                <w:szCs w:val="24"/>
              </w:rPr>
              <w:t>杨建桥</w:t>
            </w:r>
            <w:r>
              <w:rPr>
                <w:rFonts w:hint="eastAsia"/>
                <w:sz w:val="24"/>
                <w:szCs w:val="24"/>
              </w:rPr>
              <w:t xml:space="preserve">  </w:t>
            </w:r>
            <w:r>
              <w:rPr>
                <w:rFonts w:hint="eastAsia"/>
                <w:sz w:val="24"/>
                <w:szCs w:val="24"/>
              </w:rPr>
              <w:t>陪同人</w:t>
            </w:r>
            <w:r>
              <w:rPr>
                <w:rFonts w:hint="eastAsia"/>
                <w:sz w:val="24"/>
                <w:szCs w:val="24"/>
              </w:rPr>
              <w:t>员：杨建桥</w:t>
            </w:r>
            <w:r>
              <w:rPr>
                <w:rFonts w:hint="eastAsia"/>
                <w:sz w:val="24"/>
                <w:szCs w:val="24"/>
              </w:rPr>
              <w:t xml:space="preserve"> </w:t>
            </w:r>
          </w:p>
        </w:tc>
        <w:tc>
          <w:tcPr>
            <w:tcW w:w="1585" w:type="dxa"/>
            <w:vMerge w:val="restart"/>
            <w:vAlign w:val="center"/>
          </w:tcPr>
          <w:p w:rsidR="00874D58" w:rsidRDefault="00E345ED">
            <w:pPr>
              <w:rPr>
                <w:sz w:val="24"/>
                <w:szCs w:val="24"/>
              </w:rPr>
            </w:pPr>
            <w:r>
              <w:rPr>
                <w:rFonts w:hint="eastAsia"/>
                <w:sz w:val="24"/>
                <w:szCs w:val="24"/>
              </w:rPr>
              <w:t>判定</w:t>
            </w:r>
          </w:p>
        </w:tc>
      </w:tr>
      <w:tr w:rsidR="00874D58">
        <w:trPr>
          <w:trHeight w:val="347"/>
        </w:trPr>
        <w:tc>
          <w:tcPr>
            <w:tcW w:w="2160" w:type="dxa"/>
            <w:vMerge/>
            <w:vAlign w:val="center"/>
          </w:tcPr>
          <w:p w:rsidR="00874D58" w:rsidRDefault="00874D58">
            <w:pPr>
              <w:rPr>
                <w:sz w:val="24"/>
                <w:szCs w:val="24"/>
              </w:rPr>
            </w:pPr>
          </w:p>
        </w:tc>
        <w:tc>
          <w:tcPr>
            <w:tcW w:w="960" w:type="dxa"/>
            <w:vMerge/>
            <w:vAlign w:val="center"/>
          </w:tcPr>
          <w:p w:rsidR="00874D58" w:rsidRDefault="00874D58">
            <w:pPr>
              <w:rPr>
                <w:sz w:val="24"/>
                <w:szCs w:val="24"/>
              </w:rPr>
            </w:pPr>
          </w:p>
        </w:tc>
        <w:tc>
          <w:tcPr>
            <w:tcW w:w="10004" w:type="dxa"/>
            <w:vAlign w:val="center"/>
          </w:tcPr>
          <w:p w:rsidR="00874D58" w:rsidRDefault="00E345ED">
            <w:pPr>
              <w:spacing w:before="120"/>
            </w:pPr>
            <w:r>
              <w:rPr>
                <w:rFonts w:hint="eastAsia"/>
                <w:sz w:val="24"/>
                <w:szCs w:val="24"/>
              </w:rPr>
              <w:t>审核员：</w:t>
            </w:r>
            <w:bookmarkStart w:id="0" w:name="审核组成员不含组长"/>
            <w:r>
              <w:rPr>
                <w:rFonts w:hint="eastAsia"/>
                <w:sz w:val="24"/>
                <w:szCs w:val="24"/>
              </w:rPr>
              <w:t>陈琦</w:t>
            </w:r>
            <w:bookmarkEnd w:id="0"/>
            <w:r>
              <w:rPr>
                <w:rFonts w:hint="eastAsia"/>
                <w:sz w:val="24"/>
                <w:szCs w:val="24"/>
              </w:rPr>
              <w:t xml:space="preserve"> </w:t>
            </w:r>
            <w:r>
              <w:rPr>
                <w:rFonts w:hint="eastAsia"/>
                <w:sz w:val="24"/>
                <w:szCs w:val="24"/>
              </w:rPr>
              <w:t>审核时间：</w:t>
            </w:r>
            <w:bookmarkStart w:id="1" w:name="审核日期"/>
            <w:r>
              <w:rPr>
                <w:rFonts w:hint="eastAsia"/>
                <w:sz w:val="24"/>
                <w:szCs w:val="24"/>
              </w:rPr>
              <w:t>202</w:t>
            </w:r>
            <w:r>
              <w:rPr>
                <w:rFonts w:hint="eastAsia"/>
                <w:sz w:val="24"/>
                <w:szCs w:val="24"/>
              </w:rPr>
              <w:t>2</w:t>
            </w:r>
            <w:r>
              <w:rPr>
                <w:rFonts w:hint="eastAsia"/>
                <w:sz w:val="24"/>
                <w:szCs w:val="24"/>
              </w:rPr>
              <w:t>年</w:t>
            </w:r>
            <w:r>
              <w:rPr>
                <w:rFonts w:hint="eastAsia"/>
                <w:sz w:val="24"/>
                <w:szCs w:val="24"/>
              </w:rPr>
              <w:t>04</w:t>
            </w:r>
            <w:r>
              <w:rPr>
                <w:rFonts w:hint="eastAsia"/>
                <w:sz w:val="24"/>
                <w:szCs w:val="24"/>
              </w:rPr>
              <w:t>月</w:t>
            </w:r>
            <w:r>
              <w:rPr>
                <w:rFonts w:hint="eastAsia"/>
                <w:sz w:val="24"/>
                <w:szCs w:val="24"/>
              </w:rPr>
              <w:t>26</w:t>
            </w:r>
            <w:r>
              <w:rPr>
                <w:rFonts w:hint="eastAsia"/>
                <w:sz w:val="24"/>
                <w:szCs w:val="24"/>
              </w:rPr>
              <w:t>日</w:t>
            </w:r>
            <w:bookmarkEnd w:id="1"/>
            <w:r>
              <w:rPr>
                <w:rFonts w:hint="eastAsia"/>
                <w:sz w:val="24"/>
                <w:szCs w:val="24"/>
              </w:rPr>
              <w:t>-27</w:t>
            </w:r>
            <w:r>
              <w:rPr>
                <w:rFonts w:hint="eastAsia"/>
                <w:sz w:val="24"/>
                <w:szCs w:val="24"/>
              </w:rPr>
              <w:t>日上午</w:t>
            </w:r>
          </w:p>
        </w:tc>
        <w:tc>
          <w:tcPr>
            <w:tcW w:w="1585" w:type="dxa"/>
            <w:vMerge/>
          </w:tcPr>
          <w:p w:rsidR="00874D58" w:rsidRDefault="00874D58"/>
        </w:tc>
      </w:tr>
      <w:tr w:rsidR="00874D58" w:rsidTr="005B4AA2">
        <w:trPr>
          <w:trHeight w:val="565"/>
        </w:trPr>
        <w:tc>
          <w:tcPr>
            <w:tcW w:w="2160" w:type="dxa"/>
            <w:vMerge/>
            <w:vAlign w:val="center"/>
          </w:tcPr>
          <w:p w:rsidR="00874D58" w:rsidRDefault="00874D58">
            <w:pPr>
              <w:rPr>
                <w:sz w:val="24"/>
                <w:szCs w:val="24"/>
              </w:rPr>
            </w:pPr>
          </w:p>
        </w:tc>
        <w:tc>
          <w:tcPr>
            <w:tcW w:w="960" w:type="dxa"/>
            <w:vMerge/>
            <w:vAlign w:val="center"/>
          </w:tcPr>
          <w:p w:rsidR="00874D58" w:rsidRDefault="00874D58">
            <w:pPr>
              <w:rPr>
                <w:sz w:val="24"/>
                <w:szCs w:val="24"/>
              </w:rPr>
            </w:pPr>
          </w:p>
        </w:tc>
        <w:tc>
          <w:tcPr>
            <w:tcW w:w="10004" w:type="dxa"/>
            <w:vAlign w:val="center"/>
          </w:tcPr>
          <w:p w:rsidR="00874D58" w:rsidRDefault="00E345ED" w:rsidP="005B4AA2">
            <w:pPr>
              <w:spacing w:before="120"/>
            </w:pPr>
            <w:r>
              <w:rPr>
                <w:rFonts w:hint="eastAsia"/>
                <w:sz w:val="24"/>
                <w:szCs w:val="24"/>
              </w:rPr>
              <w:t>审核条款：</w:t>
            </w:r>
            <w:r>
              <w:rPr>
                <w:rFonts w:hint="eastAsia"/>
                <w:sz w:val="24"/>
                <w:szCs w:val="24"/>
              </w:rPr>
              <w:t>E:5.3/6.1.2/8.1/8.2/9.1.1/10.2</w:t>
            </w:r>
            <w:r>
              <w:rPr>
                <w:rFonts w:hint="eastAsia"/>
                <w:sz w:val="24"/>
                <w:szCs w:val="24"/>
              </w:rPr>
              <w:t>；</w:t>
            </w:r>
            <w:r>
              <w:rPr>
                <w:rFonts w:hint="eastAsia"/>
                <w:sz w:val="24"/>
                <w:szCs w:val="24"/>
              </w:rPr>
              <w:t>S:5.3/6.1.2/8.1/8.2/9.1.1/10.2</w:t>
            </w:r>
            <w:r>
              <w:rPr>
                <w:rFonts w:hint="eastAsia"/>
                <w:sz w:val="24"/>
                <w:szCs w:val="24"/>
              </w:rPr>
              <w:t>；</w:t>
            </w:r>
          </w:p>
        </w:tc>
        <w:tc>
          <w:tcPr>
            <w:tcW w:w="1585" w:type="dxa"/>
            <w:vMerge/>
          </w:tcPr>
          <w:p w:rsidR="00874D58" w:rsidRDefault="00874D58"/>
        </w:tc>
      </w:tr>
      <w:tr w:rsidR="00874D58">
        <w:trPr>
          <w:trHeight w:val="1255"/>
        </w:trPr>
        <w:tc>
          <w:tcPr>
            <w:tcW w:w="2160" w:type="dxa"/>
          </w:tcPr>
          <w:p w:rsidR="00874D58" w:rsidRDefault="00E345ED">
            <w:pPr>
              <w:spacing w:line="288" w:lineRule="auto"/>
              <w:rPr>
                <w:rFonts w:ascii="宋体" w:hAnsi="宋体"/>
                <w:color w:val="080DE8"/>
                <w:sz w:val="24"/>
                <w:szCs w:val="24"/>
              </w:rPr>
            </w:pPr>
            <w:r>
              <w:rPr>
                <w:rFonts w:ascii="宋体" w:hAnsi="宋体" w:cs="Arial" w:hint="eastAsia"/>
                <w:sz w:val="24"/>
                <w:szCs w:val="24"/>
              </w:rPr>
              <w:t>组织的岗位、职责和权限</w:t>
            </w:r>
          </w:p>
        </w:tc>
        <w:tc>
          <w:tcPr>
            <w:tcW w:w="960" w:type="dxa"/>
          </w:tcPr>
          <w:p w:rsidR="00874D58" w:rsidRDefault="00E345ED">
            <w:pPr>
              <w:spacing w:line="288" w:lineRule="auto"/>
              <w:rPr>
                <w:sz w:val="24"/>
                <w:szCs w:val="24"/>
              </w:rPr>
            </w:pPr>
            <w:r>
              <w:rPr>
                <w:rFonts w:ascii="宋体" w:hAnsi="宋体" w:cs="Arial" w:hint="eastAsia"/>
                <w:sz w:val="24"/>
                <w:szCs w:val="24"/>
              </w:rPr>
              <w:t>ES</w:t>
            </w:r>
            <w:r>
              <w:rPr>
                <w:rFonts w:ascii="宋体" w:hAnsi="宋体" w:cs="Arial" w:hint="eastAsia"/>
                <w:sz w:val="24"/>
                <w:szCs w:val="24"/>
              </w:rPr>
              <w:t>5.3</w:t>
            </w:r>
          </w:p>
        </w:tc>
        <w:tc>
          <w:tcPr>
            <w:tcW w:w="10004" w:type="dxa"/>
          </w:tcPr>
          <w:p w:rsidR="00874D58" w:rsidRDefault="00E345ED">
            <w:pPr>
              <w:spacing w:line="360" w:lineRule="auto"/>
              <w:rPr>
                <w:sz w:val="24"/>
                <w:szCs w:val="24"/>
              </w:rPr>
            </w:pPr>
            <w:r>
              <w:rPr>
                <w:rFonts w:hint="eastAsia"/>
                <w:sz w:val="24"/>
                <w:szCs w:val="24"/>
              </w:rPr>
              <w:t>开发部主管：杨建桥</w:t>
            </w:r>
          </w:p>
          <w:p w:rsidR="00874D58" w:rsidRDefault="00E345ED">
            <w:pPr>
              <w:pStyle w:val="a0"/>
              <w:rPr>
                <w:sz w:val="24"/>
                <w:szCs w:val="32"/>
              </w:rPr>
            </w:pPr>
            <w:r>
              <w:rPr>
                <w:rFonts w:hint="eastAsia"/>
                <w:sz w:val="24"/>
                <w:szCs w:val="24"/>
              </w:rPr>
              <w:t>公司开发部办公区域：</w:t>
            </w:r>
            <w:r>
              <w:rPr>
                <w:rFonts w:hint="eastAsia"/>
                <w:sz w:val="24"/>
                <w:szCs w:val="32"/>
              </w:rPr>
              <w:t>产品研发部、运营维护部、集成交付部与解决方案部。</w:t>
            </w:r>
          </w:p>
          <w:p w:rsidR="00874D58" w:rsidRDefault="00E345ED">
            <w:pPr>
              <w:pStyle w:val="a0"/>
              <w:rPr>
                <w:color w:val="FF0000"/>
                <w:sz w:val="24"/>
                <w:szCs w:val="32"/>
              </w:rPr>
            </w:pPr>
            <w:r>
              <w:rPr>
                <w:rFonts w:hint="eastAsia"/>
                <w:sz w:val="24"/>
                <w:szCs w:val="32"/>
              </w:rPr>
              <w:t>主要为软件开发，系统集成的方案研发与技术支持活动。</w:t>
            </w:r>
          </w:p>
          <w:p w:rsidR="00874D58" w:rsidRDefault="00E345ED">
            <w:pPr>
              <w:pStyle w:val="a0"/>
            </w:pPr>
            <w:r>
              <w:rPr>
                <w:noProof/>
              </w:rPr>
              <w:drawing>
                <wp:inline distT="0" distB="0" distL="114300" distR="114300">
                  <wp:extent cx="1785620" cy="1814195"/>
                  <wp:effectExtent l="0" t="0" r="508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1785620" cy="1814195"/>
                          </a:xfrm>
                          <a:prstGeom prst="rect">
                            <a:avLst/>
                          </a:prstGeom>
                          <a:noFill/>
                          <a:ln>
                            <a:noFill/>
                          </a:ln>
                        </pic:spPr>
                      </pic:pic>
                    </a:graphicData>
                  </a:graphic>
                </wp:inline>
              </w:drawing>
            </w:r>
            <w:r>
              <w:rPr>
                <w:rFonts w:hint="eastAsia"/>
              </w:rPr>
              <w:t xml:space="preserve"> </w:t>
            </w:r>
            <w:r>
              <w:rPr>
                <w:noProof/>
              </w:rPr>
              <w:drawing>
                <wp:inline distT="0" distB="0" distL="114300" distR="114300">
                  <wp:extent cx="2032000" cy="1814195"/>
                  <wp:effectExtent l="0" t="0" r="635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2032000" cy="1814195"/>
                          </a:xfrm>
                          <a:prstGeom prst="rect">
                            <a:avLst/>
                          </a:prstGeom>
                          <a:noFill/>
                          <a:ln>
                            <a:noFill/>
                          </a:ln>
                        </pic:spPr>
                      </pic:pic>
                    </a:graphicData>
                  </a:graphic>
                </wp:inline>
              </w:drawing>
            </w:r>
            <w:r>
              <w:rPr>
                <w:rFonts w:hint="eastAsia"/>
              </w:rPr>
              <w:t xml:space="preserve"> </w:t>
            </w:r>
            <w:r>
              <w:rPr>
                <w:noProof/>
              </w:rPr>
              <w:drawing>
                <wp:inline distT="0" distB="0" distL="114300" distR="114300">
                  <wp:extent cx="2132965" cy="1812925"/>
                  <wp:effectExtent l="0" t="0" r="63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stretch>
                            <a:fillRect/>
                          </a:stretch>
                        </pic:blipFill>
                        <pic:spPr>
                          <a:xfrm>
                            <a:off x="0" y="0"/>
                            <a:ext cx="2132965" cy="1812925"/>
                          </a:xfrm>
                          <a:prstGeom prst="rect">
                            <a:avLst/>
                          </a:prstGeom>
                          <a:noFill/>
                          <a:ln>
                            <a:noFill/>
                          </a:ln>
                        </pic:spPr>
                      </pic:pic>
                    </a:graphicData>
                  </a:graphic>
                </wp:inline>
              </w:drawing>
            </w:r>
          </w:p>
          <w:p w:rsidR="00874D58" w:rsidRDefault="00E345ED">
            <w:pPr>
              <w:pStyle w:val="a0"/>
              <w:ind w:firstLine="560"/>
            </w:pPr>
            <w:r>
              <w:rPr>
                <w:rFonts w:hint="eastAsia"/>
              </w:rPr>
              <w:t xml:space="preserve"> </w:t>
            </w:r>
          </w:p>
          <w:p w:rsidR="00874D58" w:rsidRDefault="00874D58">
            <w:pPr>
              <w:pStyle w:val="a0"/>
              <w:ind w:firstLine="560"/>
              <w:rPr>
                <w:color w:val="FF0000"/>
                <w:sz w:val="24"/>
                <w:szCs w:val="32"/>
              </w:rPr>
            </w:pPr>
          </w:p>
          <w:p w:rsidR="00874D58" w:rsidRDefault="00874D58">
            <w:pPr>
              <w:pStyle w:val="a0"/>
              <w:ind w:firstLine="560"/>
              <w:rPr>
                <w:color w:val="FF0000"/>
                <w:sz w:val="24"/>
                <w:szCs w:val="32"/>
              </w:rPr>
            </w:pPr>
          </w:p>
          <w:p w:rsidR="00874D58" w:rsidRDefault="00874D58">
            <w:pPr>
              <w:pStyle w:val="a0"/>
              <w:ind w:firstLine="560"/>
              <w:rPr>
                <w:color w:val="FF0000"/>
                <w:sz w:val="24"/>
                <w:szCs w:val="32"/>
              </w:rPr>
            </w:pPr>
          </w:p>
          <w:p w:rsidR="00874D58" w:rsidRDefault="00874D58">
            <w:pPr>
              <w:pStyle w:val="a0"/>
              <w:ind w:firstLine="560"/>
              <w:rPr>
                <w:color w:val="FF0000"/>
                <w:sz w:val="24"/>
                <w:szCs w:val="32"/>
              </w:rPr>
            </w:pPr>
          </w:p>
          <w:p w:rsidR="00874D58" w:rsidRDefault="00E345ED">
            <w:pPr>
              <w:spacing w:line="360" w:lineRule="auto"/>
              <w:ind w:firstLineChars="200" w:firstLine="480"/>
              <w:rPr>
                <w:sz w:val="24"/>
                <w:szCs w:val="24"/>
              </w:rPr>
            </w:pPr>
            <w:r>
              <w:rPr>
                <w:rFonts w:hint="eastAsia"/>
                <w:sz w:val="24"/>
                <w:szCs w:val="24"/>
              </w:rPr>
              <w:t>开发部</w:t>
            </w:r>
            <w:r>
              <w:rPr>
                <w:rFonts w:hint="eastAsia"/>
                <w:sz w:val="24"/>
                <w:szCs w:val="24"/>
              </w:rPr>
              <w:t>按照公司领导要求，做好公司职能和岗位的具体确定，对</w:t>
            </w:r>
            <w:r>
              <w:rPr>
                <w:rFonts w:hint="eastAsia"/>
                <w:sz w:val="24"/>
                <w:szCs w:val="24"/>
              </w:rPr>
              <w:t>部门</w:t>
            </w:r>
            <w:r>
              <w:rPr>
                <w:rFonts w:hint="eastAsia"/>
                <w:sz w:val="24"/>
                <w:szCs w:val="24"/>
              </w:rPr>
              <w:t>人员规定其</w:t>
            </w:r>
            <w:r>
              <w:rPr>
                <w:rFonts w:hint="eastAsia"/>
                <w:color w:val="000000" w:themeColor="text1"/>
                <w:sz w:val="24"/>
                <w:szCs w:val="24"/>
              </w:rPr>
              <w:t>岗位</w:t>
            </w:r>
            <w:r>
              <w:rPr>
                <w:rFonts w:hint="eastAsia"/>
                <w:color w:val="000000" w:themeColor="text1"/>
                <w:sz w:val="24"/>
                <w:szCs w:val="24"/>
              </w:rPr>
              <w:t>职责</w:t>
            </w:r>
            <w:r>
              <w:rPr>
                <w:rFonts w:hint="eastAsia"/>
                <w:sz w:val="24"/>
                <w:szCs w:val="24"/>
              </w:rPr>
              <w:t>、</w:t>
            </w:r>
            <w:r>
              <w:rPr>
                <w:rFonts w:hint="eastAsia"/>
                <w:sz w:val="24"/>
                <w:szCs w:val="24"/>
              </w:rPr>
              <w:lastRenderedPageBreak/>
              <w:t>权限及其相互关系，以实现公司管理方针和管理目标。</w:t>
            </w:r>
            <w:r>
              <w:rPr>
                <w:rFonts w:hint="eastAsia"/>
                <w:sz w:val="24"/>
                <w:szCs w:val="24"/>
              </w:rPr>
              <w:t>主要职责如下：</w:t>
            </w:r>
          </w:p>
          <w:p w:rsidR="00874D58" w:rsidRDefault="00E345ED">
            <w:pPr>
              <w:pStyle w:val="a4"/>
              <w:numPr>
                <w:ilvl w:val="0"/>
                <w:numId w:val="1"/>
              </w:numPr>
              <w:tabs>
                <w:tab w:val="clear" w:pos="930"/>
              </w:tabs>
              <w:ind w:left="420" w:firstLine="0"/>
              <w:rPr>
                <w:sz w:val="24"/>
              </w:rPr>
            </w:pPr>
            <w:r>
              <w:rPr>
                <w:rFonts w:hint="eastAsia"/>
                <w:sz w:val="24"/>
              </w:rPr>
              <w:t xml:space="preserve"> </w:t>
            </w:r>
            <w:r>
              <w:rPr>
                <w:rFonts w:hint="eastAsia"/>
                <w:sz w:val="24"/>
              </w:rPr>
              <w:t>负责公司</w:t>
            </w:r>
            <w:r>
              <w:rPr>
                <w:rFonts w:hint="eastAsia"/>
                <w:sz w:val="24"/>
              </w:rPr>
              <w:t>开发</w:t>
            </w:r>
            <w:r>
              <w:rPr>
                <w:rFonts w:hint="eastAsia"/>
                <w:sz w:val="24"/>
              </w:rPr>
              <w:t>任务，技术调研、论证、开发、设计工作</w:t>
            </w:r>
            <w:r>
              <w:rPr>
                <w:rFonts w:hint="eastAsia"/>
                <w:sz w:val="24"/>
              </w:rPr>
              <w:t>；</w:t>
            </w:r>
          </w:p>
          <w:p w:rsidR="00874D58" w:rsidRDefault="00E345ED">
            <w:pPr>
              <w:pStyle w:val="a4"/>
              <w:numPr>
                <w:ilvl w:val="0"/>
                <w:numId w:val="1"/>
              </w:numPr>
              <w:ind w:left="420" w:firstLine="0"/>
              <w:rPr>
                <w:sz w:val="24"/>
              </w:rPr>
            </w:pPr>
            <w:r>
              <w:rPr>
                <w:rFonts w:hint="eastAsia"/>
                <w:sz w:val="24"/>
              </w:rPr>
              <w:t>组织实施</w:t>
            </w:r>
            <w:r>
              <w:rPr>
                <w:rFonts w:hint="eastAsia"/>
                <w:sz w:val="24"/>
              </w:rPr>
              <w:t>开发</w:t>
            </w:r>
            <w:r>
              <w:rPr>
                <w:rFonts w:hint="eastAsia"/>
                <w:sz w:val="24"/>
              </w:rPr>
              <w:t>规划；</w:t>
            </w:r>
          </w:p>
          <w:p w:rsidR="00874D58" w:rsidRDefault="00E345ED">
            <w:pPr>
              <w:pStyle w:val="a4"/>
              <w:numPr>
                <w:ilvl w:val="0"/>
                <w:numId w:val="1"/>
              </w:numPr>
              <w:ind w:left="420" w:firstLine="0"/>
              <w:rPr>
                <w:sz w:val="24"/>
              </w:rPr>
            </w:pPr>
            <w:r>
              <w:rPr>
                <w:rFonts w:hint="eastAsia"/>
                <w:sz w:val="24"/>
              </w:rPr>
              <w:t>制定设计规范、推行并优化设计管理体系；</w:t>
            </w:r>
          </w:p>
          <w:p w:rsidR="00874D58" w:rsidRDefault="00E345ED">
            <w:pPr>
              <w:pStyle w:val="a4"/>
              <w:numPr>
                <w:ilvl w:val="0"/>
                <w:numId w:val="1"/>
              </w:numPr>
              <w:ind w:left="420" w:firstLine="0"/>
              <w:rPr>
                <w:sz w:val="24"/>
              </w:rPr>
            </w:pPr>
            <w:r>
              <w:rPr>
                <w:rFonts w:hint="eastAsia"/>
                <w:sz w:val="24"/>
              </w:rPr>
              <w:t>组建公司的技术平台、评估研发平台投资；</w:t>
            </w:r>
          </w:p>
          <w:p w:rsidR="00874D58" w:rsidRDefault="00E345ED">
            <w:pPr>
              <w:pStyle w:val="a4"/>
              <w:numPr>
                <w:ilvl w:val="0"/>
                <w:numId w:val="1"/>
              </w:numPr>
              <w:ind w:left="420" w:firstLine="0"/>
              <w:rPr>
                <w:sz w:val="24"/>
              </w:rPr>
            </w:pPr>
            <w:r>
              <w:rPr>
                <w:rFonts w:hint="eastAsia"/>
                <w:sz w:val="24"/>
              </w:rPr>
              <w:t>开发</w:t>
            </w:r>
            <w:r>
              <w:rPr>
                <w:rFonts w:hint="eastAsia"/>
                <w:sz w:val="24"/>
              </w:rPr>
              <w:t>部门的团队建设、岗位定义、岗位职责要求、员工考核、资源调度；</w:t>
            </w:r>
          </w:p>
          <w:p w:rsidR="00874D58" w:rsidRDefault="00E345ED">
            <w:pPr>
              <w:pStyle w:val="a4"/>
              <w:numPr>
                <w:ilvl w:val="0"/>
                <w:numId w:val="1"/>
              </w:numPr>
              <w:ind w:left="420" w:firstLine="0"/>
              <w:rPr>
                <w:sz w:val="24"/>
              </w:rPr>
            </w:pPr>
            <w:r>
              <w:rPr>
                <w:rFonts w:hint="eastAsia"/>
                <w:sz w:val="24"/>
              </w:rPr>
              <w:t>评估设计技术可行性；</w:t>
            </w:r>
          </w:p>
          <w:p w:rsidR="00874D58" w:rsidRDefault="00E345ED">
            <w:pPr>
              <w:pStyle w:val="a4"/>
              <w:numPr>
                <w:ilvl w:val="0"/>
                <w:numId w:val="1"/>
              </w:numPr>
              <w:ind w:left="420" w:firstLine="0"/>
              <w:rPr>
                <w:sz w:val="24"/>
              </w:rPr>
            </w:pPr>
            <w:r>
              <w:rPr>
                <w:rFonts w:hint="eastAsia"/>
                <w:sz w:val="24"/>
              </w:rPr>
              <w:t>制定设计开发预算和研发计划，并组织实施</w:t>
            </w:r>
          </w:p>
          <w:p w:rsidR="00874D58" w:rsidRDefault="00E345ED">
            <w:pPr>
              <w:pStyle w:val="a4"/>
              <w:numPr>
                <w:ilvl w:val="0"/>
                <w:numId w:val="1"/>
              </w:numPr>
              <w:ind w:left="420" w:firstLine="0"/>
              <w:rPr>
                <w:sz w:val="24"/>
              </w:rPr>
            </w:pPr>
            <w:r>
              <w:rPr>
                <w:rFonts w:hint="eastAsia"/>
                <w:sz w:val="24"/>
              </w:rPr>
              <w:t>监控每个研发项目的执行过程；</w:t>
            </w:r>
          </w:p>
          <w:p w:rsidR="00874D58" w:rsidRDefault="00E345ED">
            <w:pPr>
              <w:pStyle w:val="a4"/>
              <w:numPr>
                <w:ilvl w:val="0"/>
                <w:numId w:val="1"/>
              </w:numPr>
              <w:ind w:left="420" w:firstLine="0"/>
              <w:rPr>
                <w:sz w:val="24"/>
              </w:rPr>
            </w:pPr>
            <w:r>
              <w:rPr>
                <w:rFonts w:hint="eastAsia"/>
                <w:sz w:val="24"/>
              </w:rPr>
              <w:t>组织研发成果的鉴定和评审；</w:t>
            </w:r>
          </w:p>
          <w:p w:rsidR="00874D58" w:rsidRDefault="00E345ED">
            <w:pPr>
              <w:pStyle w:val="a4"/>
              <w:numPr>
                <w:ilvl w:val="0"/>
                <w:numId w:val="1"/>
              </w:numPr>
              <w:ind w:left="420" w:firstLine="0"/>
              <w:rPr>
                <w:sz w:val="24"/>
              </w:rPr>
            </w:pPr>
            <w:r>
              <w:rPr>
                <w:rFonts w:hint="eastAsia"/>
                <w:sz w:val="24"/>
              </w:rPr>
              <w:t>汇总每个项目的可重用成果，形成内部技术和知识方面的的资源库；</w:t>
            </w:r>
          </w:p>
          <w:p w:rsidR="00874D58" w:rsidRDefault="00E345ED">
            <w:pPr>
              <w:pStyle w:val="a4"/>
              <w:numPr>
                <w:ilvl w:val="0"/>
                <w:numId w:val="1"/>
              </w:numPr>
              <w:ind w:left="420" w:firstLine="0"/>
              <w:rPr>
                <w:sz w:val="24"/>
              </w:rPr>
            </w:pPr>
            <w:r>
              <w:rPr>
                <w:rFonts w:hint="eastAsia"/>
                <w:sz w:val="24"/>
              </w:rPr>
              <w:t>分析总结</w:t>
            </w:r>
            <w:r>
              <w:rPr>
                <w:rFonts w:hint="eastAsia"/>
                <w:sz w:val="24"/>
              </w:rPr>
              <w:t>开发</w:t>
            </w:r>
            <w:r>
              <w:rPr>
                <w:rFonts w:hint="eastAsia"/>
                <w:sz w:val="24"/>
              </w:rPr>
              <w:t>过程的经验和教训，提高研发质量；</w:t>
            </w:r>
          </w:p>
          <w:p w:rsidR="00874D58" w:rsidRDefault="00E345ED">
            <w:pPr>
              <w:pStyle w:val="a4"/>
              <w:numPr>
                <w:ilvl w:val="0"/>
                <w:numId w:val="1"/>
              </w:numPr>
              <w:ind w:left="420" w:firstLine="0"/>
              <w:rPr>
                <w:sz w:val="24"/>
              </w:rPr>
            </w:pPr>
            <w:r>
              <w:rPr>
                <w:rFonts w:hint="eastAsia"/>
                <w:sz w:val="24"/>
              </w:rPr>
              <w:t>做好公司标准和专利</w:t>
            </w:r>
            <w:r>
              <w:rPr>
                <w:rFonts w:hint="eastAsia"/>
                <w:sz w:val="24"/>
              </w:rPr>
              <w:t>(</w:t>
            </w:r>
            <w:r>
              <w:rPr>
                <w:rFonts w:hint="eastAsia"/>
                <w:sz w:val="24"/>
              </w:rPr>
              <w:t>知识产权</w:t>
            </w:r>
            <w:r>
              <w:rPr>
                <w:rFonts w:hint="eastAsia"/>
                <w:sz w:val="24"/>
              </w:rPr>
              <w:t>)</w:t>
            </w:r>
            <w:r>
              <w:rPr>
                <w:rFonts w:hint="eastAsia"/>
                <w:sz w:val="24"/>
              </w:rPr>
              <w:t>规划，实施相关标准及申请专利，代表公司参与标准协会或者标准组织；</w:t>
            </w:r>
          </w:p>
          <w:p w:rsidR="00874D58" w:rsidRDefault="00E345ED">
            <w:pPr>
              <w:pStyle w:val="a4"/>
              <w:numPr>
                <w:ilvl w:val="0"/>
                <w:numId w:val="1"/>
              </w:numPr>
              <w:ind w:left="420" w:firstLine="0"/>
              <w:rPr>
                <w:sz w:val="24"/>
                <w:szCs w:val="22"/>
              </w:rPr>
            </w:pPr>
            <w:r>
              <w:rPr>
                <w:rFonts w:hint="eastAsia"/>
                <w:sz w:val="24"/>
                <w:szCs w:val="22"/>
              </w:rPr>
              <w:t>公司未来的业务发展的预研，规划组织现有设计</w:t>
            </w:r>
            <w:r>
              <w:rPr>
                <w:rFonts w:hint="eastAsia"/>
                <w:sz w:val="24"/>
                <w:szCs w:val="22"/>
              </w:rPr>
              <w:t>的改进</w:t>
            </w:r>
          </w:p>
          <w:p w:rsidR="00874D58" w:rsidRDefault="00E345ED">
            <w:pPr>
              <w:pStyle w:val="a4"/>
              <w:numPr>
                <w:ilvl w:val="0"/>
                <w:numId w:val="1"/>
              </w:numPr>
              <w:ind w:left="420" w:firstLine="0"/>
              <w:rPr>
                <w:sz w:val="24"/>
                <w:szCs w:val="22"/>
              </w:rPr>
            </w:pPr>
            <w:r>
              <w:rPr>
                <w:rFonts w:hint="eastAsia"/>
                <w:sz w:val="24"/>
                <w:szCs w:val="22"/>
              </w:rPr>
              <w:t>负责制定、实施、检查本部门管理目标及管理方案。</w:t>
            </w:r>
          </w:p>
          <w:p w:rsidR="00874D58" w:rsidRDefault="00E345ED">
            <w:pPr>
              <w:pStyle w:val="a4"/>
              <w:numPr>
                <w:ilvl w:val="0"/>
                <w:numId w:val="1"/>
              </w:numPr>
              <w:ind w:left="420" w:firstLine="0"/>
              <w:rPr>
                <w:sz w:val="24"/>
                <w:szCs w:val="22"/>
              </w:rPr>
            </w:pPr>
            <w:r>
              <w:rPr>
                <w:rFonts w:hint="eastAsia"/>
                <w:sz w:val="24"/>
                <w:szCs w:val="22"/>
              </w:rPr>
              <w:t>识别并评价本部门环境因素、危险源。</w:t>
            </w:r>
          </w:p>
          <w:p w:rsidR="00874D58" w:rsidRDefault="00E345ED">
            <w:pPr>
              <w:pStyle w:val="a4"/>
              <w:numPr>
                <w:ilvl w:val="0"/>
                <w:numId w:val="1"/>
              </w:numPr>
              <w:ind w:left="420" w:firstLine="0"/>
              <w:rPr>
                <w:sz w:val="24"/>
                <w:szCs w:val="22"/>
              </w:rPr>
            </w:pPr>
            <w:r>
              <w:rPr>
                <w:rFonts w:hint="eastAsia"/>
                <w:sz w:val="24"/>
                <w:szCs w:val="22"/>
              </w:rPr>
              <w:t>确保本部门环境</w:t>
            </w:r>
            <w:r>
              <w:rPr>
                <w:rFonts w:hint="eastAsia"/>
                <w:sz w:val="24"/>
                <w:szCs w:val="22"/>
              </w:rPr>
              <w:t>/</w:t>
            </w:r>
            <w:r>
              <w:rPr>
                <w:rFonts w:hint="eastAsia"/>
                <w:sz w:val="24"/>
                <w:szCs w:val="22"/>
              </w:rPr>
              <w:t>职业健康安全管理体系信息得到有效沟通与交流。</w:t>
            </w:r>
          </w:p>
          <w:p w:rsidR="00874D58" w:rsidRDefault="00E345ED">
            <w:pPr>
              <w:pStyle w:val="a4"/>
              <w:numPr>
                <w:ilvl w:val="0"/>
                <w:numId w:val="1"/>
              </w:numPr>
              <w:ind w:left="420" w:firstLine="0"/>
              <w:rPr>
                <w:sz w:val="24"/>
                <w:szCs w:val="22"/>
              </w:rPr>
            </w:pPr>
            <w:r>
              <w:rPr>
                <w:rFonts w:hint="eastAsia"/>
                <w:sz w:val="24"/>
                <w:szCs w:val="22"/>
              </w:rPr>
              <w:t>负责对本部门管理管理过程中不符合的纠正与预防措施的实施。</w:t>
            </w:r>
          </w:p>
          <w:p w:rsidR="00874D58" w:rsidRDefault="00E345ED">
            <w:pPr>
              <w:pStyle w:val="a4"/>
              <w:numPr>
                <w:ilvl w:val="0"/>
                <w:numId w:val="1"/>
              </w:numPr>
              <w:ind w:left="420" w:firstLine="0"/>
            </w:pPr>
            <w:r>
              <w:rPr>
                <w:rFonts w:hint="eastAsia"/>
                <w:sz w:val="24"/>
                <w:szCs w:val="22"/>
              </w:rPr>
              <w:t>确保环境</w:t>
            </w:r>
            <w:r>
              <w:rPr>
                <w:rFonts w:hint="eastAsia"/>
                <w:sz w:val="24"/>
                <w:szCs w:val="22"/>
              </w:rPr>
              <w:t>/</w:t>
            </w:r>
            <w:r>
              <w:rPr>
                <w:rFonts w:hint="eastAsia"/>
                <w:sz w:val="24"/>
                <w:szCs w:val="22"/>
              </w:rPr>
              <w:t>职业健康安全管理体系在本部门有效运行。</w:t>
            </w:r>
          </w:p>
          <w:p w:rsidR="00874D58" w:rsidRDefault="00E345ED">
            <w:pPr>
              <w:spacing w:line="360" w:lineRule="auto"/>
              <w:ind w:firstLineChars="200" w:firstLine="480"/>
              <w:rPr>
                <w:sz w:val="24"/>
                <w:szCs w:val="24"/>
              </w:rPr>
            </w:pPr>
            <w:r>
              <w:rPr>
                <w:rFonts w:hint="eastAsia"/>
                <w:sz w:val="24"/>
                <w:szCs w:val="24"/>
              </w:rPr>
              <w:lastRenderedPageBreak/>
              <w:t>以上职责的具体内容在公司《管理手册》中有描述。</w:t>
            </w:r>
          </w:p>
          <w:p w:rsidR="00874D58" w:rsidRDefault="00E345ED">
            <w:pPr>
              <w:spacing w:line="360" w:lineRule="auto"/>
              <w:ind w:firstLineChars="200" w:firstLine="480"/>
              <w:rPr>
                <w:sz w:val="24"/>
                <w:szCs w:val="24"/>
              </w:rPr>
            </w:pPr>
            <w:r>
              <w:rPr>
                <w:rFonts w:hint="eastAsia"/>
                <w:sz w:val="24"/>
                <w:szCs w:val="24"/>
              </w:rPr>
              <w:t>岗位职责在公司</w:t>
            </w:r>
            <w:r>
              <w:rPr>
                <w:rFonts w:hint="eastAsia"/>
                <w:sz w:val="24"/>
                <w:szCs w:val="24"/>
              </w:rPr>
              <w:t>三阶文件</w:t>
            </w:r>
            <w:r>
              <w:rPr>
                <w:rFonts w:hint="eastAsia"/>
                <w:sz w:val="24"/>
                <w:szCs w:val="24"/>
              </w:rPr>
              <w:t>《岗位</w:t>
            </w:r>
            <w:r>
              <w:rPr>
                <w:rFonts w:hint="eastAsia"/>
                <w:sz w:val="24"/>
                <w:szCs w:val="24"/>
              </w:rPr>
              <w:t>职责</w:t>
            </w:r>
            <w:r>
              <w:rPr>
                <w:rFonts w:hint="eastAsia"/>
                <w:sz w:val="24"/>
                <w:szCs w:val="24"/>
              </w:rPr>
              <w:t>》中明确规定，通过文件下发和传达</w:t>
            </w:r>
            <w:r>
              <w:rPr>
                <w:rFonts w:hint="eastAsia"/>
                <w:sz w:val="24"/>
                <w:szCs w:val="24"/>
              </w:rPr>
              <w:t>，</w:t>
            </w:r>
            <w:r>
              <w:rPr>
                <w:rFonts w:hint="eastAsia"/>
                <w:sz w:val="24"/>
                <w:szCs w:val="24"/>
              </w:rPr>
              <w:t>OA</w:t>
            </w:r>
            <w:r>
              <w:rPr>
                <w:rFonts w:hint="eastAsia"/>
                <w:sz w:val="24"/>
                <w:szCs w:val="24"/>
              </w:rPr>
              <w:t>系统与企业邮件</w:t>
            </w:r>
            <w:r>
              <w:rPr>
                <w:rFonts w:hint="eastAsia"/>
                <w:sz w:val="24"/>
                <w:szCs w:val="24"/>
              </w:rPr>
              <w:t>等方式在公司内部贯彻和沟通。</w:t>
            </w:r>
          </w:p>
          <w:p w:rsidR="00874D58" w:rsidRDefault="00E345ED">
            <w:pPr>
              <w:spacing w:line="360" w:lineRule="auto"/>
              <w:ind w:firstLineChars="200" w:firstLine="480"/>
              <w:rPr>
                <w:sz w:val="24"/>
                <w:szCs w:val="24"/>
              </w:rPr>
            </w:pPr>
            <w:r>
              <w:rPr>
                <w:rFonts w:hint="eastAsia"/>
                <w:sz w:val="24"/>
                <w:szCs w:val="24"/>
              </w:rPr>
              <w:t>查阅岗位职责文件对各岗位职责作了明确规定</w:t>
            </w:r>
            <w:r>
              <w:rPr>
                <w:rFonts w:hint="eastAsia"/>
                <w:sz w:val="24"/>
                <w:szCs w:val="24"/>
              </w:rPr>
              <w:t>，主要包括职务概要、工作内容、任职要求（学历，工作经验，专业能力）等，</w:t>
            </w:r>
            <w:r>
              <w:rPr>
                <w:rFonts w:hint="eastAsia"/>
                <w:sz w:val="24"/>
                <w:szCs w:val="24"/>
              </w:rPr>
              <w:t>查文件内容</w:t>
            </w:r>
            <w:r>
              <w:rPr>
                <w:rFonts w:hint="eastAsia"/>
                <w:sz w:val="24"/>
                <w:szCs w:val="24"/>
              </w:rPr>
              <w:t>涵盖了</w:t>
            </w:r>
            <w:r>
              <w:rPr>
                <w:rFonts w:hint="eastAsia"/>
                <w:sz w:val="24"/>
                <w:szCs w:val="24"/>
              </w:rPr>
              <w:t>与岗位活动有关的环境和职业健康安全职责要求。</w:t>
            </w:r>
            <w:r>
              <w:rPr>
                <w:rFonts w:hint="eastAsia"/>
                <w:sz w:val="24"/>
                <w:szCs w:val="24"/>
              </w:rPr>
              <w:t xml:space="preserve"> </w:t>
            </w:r>
          </w:p>
          <w:p w:rsidR="00874D58" w:rsidRDefault="00E345ED">
            <w:pPr>
              <w:spacing w:line="360" w:lineRule="auto"/>
              <w:ind w:firstLineChars="200" w:firstLine="480"/>
            </w:pPr>
            <w:r>
              <w:rPr>
                <w:rFonts w:hint="eastAsia"/>
                <w:sz w:val="24"/>
                <w:szCs w:val="24"/>
              </w:rPr>
              <w:t>经现场询问负责人的回答与文件规定一致，本部门人员清楚本部门职责。</w:t>
            </w:r>
          </w:p>
        </w:tc>
        <w:tc>
          <w:tcPr>
            <w:tcW w:w="1585" w:type="dxa"/>
          </w:tcPr>
          <w:p w:rsidR="00874D58" w:rsidRDefault="00E345ED">
            <w:r>
              <w:rPr>
                <w:rFonts w:hint="eastAsia"/>
              </w:rPr>
              <w:lastRenderedPageBreak/>
              <w:t>Y</w:t>
            </w:r>
          </w:p>
        </w:tc>
      </w:tr>
      <w:tr w:rsidR="00874D58">
        <w:trPr>
          <w:trHeight w:val="1255"/>
        </w:trPr>
        <w:tc>
          <w:tcPr>
            <w:tcW w:w="2160" w:type="dxa"/>
          </w:tcPr>
          <w:p w:rsidR="00874D58" w:rsidRDefault="00E345ED">
            <w:pPr>
              <w:spacing w:line="288" w:lineRule="auto"/>
              <w:rPr>
                <w:szCs w:val="22"/>
              </w:rPr>
            </w:pPr>
            <w:r>
              <w:rPr>
                <w:rFonts w:ascii="宋体" w:hAnsi="宋体" w:hint="eastAsia"/>
                <w:bCs/>
                <w:sz w:val="24"/>
                <w:szCs w:val="24"/>
              </w:rPr>
              <w:lastRenderedPageBreak/>
              <w:t>环境因素、危险源辨识及风险和机遇的评价</w:t>
            </w:r>
          </w:p>
        </w:tc>
        <w:tc>
          <w:tcPr>
            <w:tcW w:w="960" w:type="dxa"/>
          </w:tcPr>
          <w:p w:rsidR="00874D58" w:rsidRDefault="00E345ED">
            <w:pPr>
              <w:pStyle w:val="a0"/>
            </w:pPr>
            <w:r>
              <w:rPr>
                <w:rFonts w:ascii="宋体" w:hAnsi="宋体" w:cs="Arial" w:hint="eastAsia"/>
                <w:sz w:val="24"/>
                <w:szCs w:val="24"/>
              </w:rPr>
              <w:t>ES6.1.2</w:t>
            </w:r>
          </w:p>
        </w:tc>
        <w:tc>
          <w:tcPr>
            <w:tcW w:w="10004" w:type="dxa"/>
          </w:tcPr>
          <w:p w:rsidR="00874D58" w:rsidRDefault="00E345ED">
            <w:pPr>
              <w:spacing w:line="360" w:lineRule="auto"/>
              <w:ind w:firstLineChars="200" w:firstLine="480"/>
              <w:rPr>
                <w:sz w:val="24"/>
                <w:szCs w:val="24"/>
              </w:rPr>
            </w:pPr>
            <w:r>
              <w:rPr>
                <w:rFonts w:hint="eastAsia"/>
                <w:sz w:val="24"/>
                <w:szCs w:val="24"/>
              </w:rPr>
              <w:t>提供《环境因素</w:t>
            </w:r>
            <w:r>
              <w:rPr>
                <w:rFonts w:hint="eastAsia"/>
                <w:sz w:val="24"/>
                <w:szCs w:val="24"/>
              </w:rPr>
              <w:t>识别</w:t>
            </w:r>
            <w:r>
              <w:rPr>
                <w:rFonts w:hint="eastAsia"/>
                <w:sz w:val="24"/>
                <w:szCs w:val="24"/>
              </w:rPr>
              <w:t>评价表》，涉及办公</w:t>
            </w:r>
            <w:r>
              <w:rPr>
                <w:rFonts w:hint="eastAsia"/>
                <w:sz w:val="24"/>
                <w:szCs w:val="24"/>
              </w:rPr>
              <w:t>室</w:t>
            </w:r>
            <w:r>
              <w:rPr>
                <w:rFonts w:hint="eastAsia"/>
                <w:sz w:val="24"/>
                <w:szCs w:val="24"/>
              </w:rPr>
              <w:t>、</w:t>
            </w:r>
            <w:r>
              <w:rPr>
                <w:rFonts w:hint="eastAsia"/>
                <w:sz w:val="24"/>
                <w:szCs w:val="24"/>
              </w:rPr>
              <w:t>会议室</w:t>
            </w:r>
            <w:r>
              <w:rPr>
                <w:rFonts w:hint="eastAsia"/>
                <w:sz w:val="24"/>
                <w:szCs w:val="24"/>
              </w:rPr>
              <w:t>等，包括</w:t>
            </w:r>
            <w:r>
              <w:rPr>
                <w:rFonts w:hint="eastAsia"/>
                <w:sz w:val="24"/>
                <w:szCs w:val="24"/>
              </w:rPr>
              <w:t>水电消耗、潜在</w:t>
            </w:r>
            <w:r>
              <w:rPr>
                <w:rFonts w:hint="eastAsia"/>
                <w:sz w:val="24"/>
                <w:szCs w:val="24"/>
              </w:rPr>
              <w:t>火灾、</w:t>
            </w:r>
            <w:r>
              <w:rPr>
                <w:rFonts w:hint="eastAsia"/>
                <w:sz w:val="24"/>
                <w:szCs w:val="24"/>
              </w:rPr>
              <w:t>场所环境、固废</w:t>
            </w:r>
            <w:r>
              <w:rPr>
                <w:rFonts w:hint="eastAsia"/>
                <w:sz w:val="24"/>
                <w:szCs w:val="24"/>
              </w:rPr>
              <w:t>、噪声等。</w:t>
            </w:r>
            <w:r>
              <w:rPr>
                <w:rFonts w:hint="eastAsia"/>
                <w:sz w:val="24"/>
                <w:szCs w:val="24"/>
              </w:rPr>
              <w:t>提供《重要环境因素清单》，</w:t>
            </w:r>
            <w:r>
              <w:rPr>
                <w:rFonts w:hint="eastAsia"/>
                <w:sz w:val="24"/>
                <w:szCs w:val="24"/>
              </w:rPr>
              <w:t>重要环境因素：</w:t>
            </w:r>
            <w:r>
              <w:rPr>
                <w:rFonts w:hint="eastAsia"/>
                <w:sz w:val="24"/>
                <w:szCs w:val="24"/>
              </w:rPr>
              <w:t>潜在火灾</w:t>
            </w:r>
            <w:r>
              <w:rPr>
                <w:rFonts w:hint="eastAsia"/>
                <w:sz w:val="24"/>
                <w:szCs w:val="24"/>
              </w:rPr>
              <w:t>、固体废弃物（含危废）处理。评价准确。</w:t>
            </w:r>
          </w:p>
          <w:p w:rsidR="00874D58" w:rsidRDefault="00E345ED">
            <w:pPr>
              <w:spacing w:line="360" w:lineRule="auto"/>
              <w:ind w:firstLineChars="200" w:firstLine="480"/>
            </w:pPr>
            <w:r>
              <w:rPr>
                <w:rFonts w:hint="eastAsia"/>
                <w:sz w:val="24"/>
                <w:szCs w:val="24"/>
              </w:rPr>
              <w:t>提供《</w:t>
            </w:r>
            <w:r>
              <w:rPr>
                <w:rFonts w:hint="eastAsia"/>
                <w:sz w:val="24"/>
                <w:szCs w:val="24"/>
              </w:rPr>
              <w:t>危</w:t>
            </w:r>
            <w:r>
              <w:rPr>
                <w:rFonts w:hint="eastAsia"/>
                <w:sz w:val="24"/>
                <w:szCs w:val="24"/>
              </w:rPr>
              <w:t>险源辨识与风险评价一览表》，按照</w:t>
            </w:r>
            <w:r>
              <w:rPr>
                <w:rFonts w:hint="eastAsia"/>
                <w:sz w:val="24"/>
                <w:szCs w:val="24"/>
              </w:rPr>
              <w:t>作业</w:t>
            </w:r>
            <w:r>
              <w:rPr>
                <w:rFonts w:hint="eastAsia"/>
                <w:sz w:val="24"/>
                <w:szCs w:val="24"/>
              </w:rPr>
              <w:t>活动进行了识别，其中涉及办公</w:t>
            </w:r>
            <w:r>
              <w:rPr>
                <w:rFonts w:hint="eastAsia"/>
                <w:sz w:val="24"/>
                <w:szCs w:val="24"/>
              </w:rPr>
              <w:t>活动</w:t>
            </w:r>
            <w:r>
              <w:rPr>
                <w:rFonts w:hint="eastAsia"/>
                <w:sz w:val="24"/>
                <w:szCs w:val="24"/>
              </w:rPr>
              <w:t>包括：电脑</w:t>
            </w:r>
            <w:r>
              <w:rPr>
                <w:rFonts w:hint="eastAsia"/>
                <w:sz w:val="24"/>
                <w:szCs w:val="24"/>
              </w:rPr>
              <w:t>操作引起的身体损害财产损失，电子产品的辐射，不当用电引起的火灾触电，场所环境引起的人身打击伤害，以及相关方与大型活动引起的人身财产危害、外出交通相关的人身伤害</w:t>
            </w:r>
            <w:r>
              <w:rPr>
                <w:rFonts w:hint="eastAsia"/>
                <w:sz w:val="24"/>
                <w:szCs w:val="24"/>
              </w:rPr>
              <w:t>等，评价全面</w:t>
            </w:r>
            <w:r>
              <w:rPr>
                <w:rFonts w:hint="eastAsia"/>
                <w:sz w:val="24"/>
                <w:szCs w:val="24"/>
              </w:rPr>
              <w:t>。提供《不可接受风险清单》，评价意外伤害（触电、交通事故等）、火灾、突发疫情损害健康</w:t>
            </w:r>
            <w:r>
              <w:rPr>
                <w:rFonts w:hint="eastAsia"/>
                <w:sz w:val="24"/>
                <w:szCs w:val="24"/>
              </w:rPr>
              <w:t>为</w:t>
            </w:r>
            <w:r>
              <w:rPr>
                <w:rFonts w:hint="eastAsia"/>
                <w:sz w:val="24"/>
                <w:szCs w:val="24"/>
              </w:rPr>
              <w:t>不可接受</w:t>
            </w:r>
            <w:r>
              <w:rPr>
                <w:rFonts w:hint="eastAsia"/>
                <w:sz w:val="24"/>
                <w:szCs w:val="24"/>
              </w:rPr>
              <w:t>风险，评价准确。</w:t>
            </w:r>
          </w:p>
        </w:tc>
        <w:tc>
          <w:tcPr>
            <w:tcW w:w="1585" w:type="dxa"/>
          </w:tcPr>
          <w:p w:rsidR="00874D58" w:rsidRDefault="00E345ED">
            <w:r>
              <w:rPr>
                <w:rFonts w:hint="eastAsia"/>
              </w:rPr>
              <w:t>Y</w:t>
            </w:r>
          </w:p>
        </w:tc>
      </w:tr>
      <w:tr w:rsidR="00874D58">
        <w:trPr>
          <w:trHeight w:val="552"/>
        </w:trPr>
        <w:tc>
          <w:tcPr>
            <w:tcW w:w="2160" w:type="dxa"/>
          </w:tcPr>
          <w:p w:rsidR="00874D58" w:rsidRDefault="00E345ED">
            <w:pPr>
              <w:spacing w:line="288" w:lineRule="auto"/>
              <w:rPr>
                <w:rFonts w:ascii="宋体" w:hAnsi="宋体"/>
                <w:bCs/>
                <w:sz w:val="24"/>
                <w:szCs w:val="24"/>
              </w:rPr>
            </w:pPr>
            <w:r>
              <w:rPr>
                <w:rFonts w:ascii="宋体" w:hAnsi="宋体" w:hint="eastAsia"/>
                <w:bCs/>
                <w:szCs w:val="21"/>
              </w:rPr>
              <w:t>运行控制</w:t>
            </w:r>
          </w:p>
        </w:tc>
        <w:tc>
          <w:tcPr>
            <w:tcW w:w="960" w:type="dxa"/>
          </w:tcPr>
          <w:p w:rsidR="00874D58" w:rsidRDefault="00E345ED">
            <w:pPr>
              <w:pStyle w:val="a0"/>
              <w:rPr>
                <w:rFonts w:ascii="宋体" w:hAnsi="宋体" w:cs="Arial"/>
                <w:sz w:val="24"/>
                <w:szCs w:val="24"/>
              </w:rPr>
            </w:pPr>
            <w:r>
              <w:rPr>
                <w:rFonts w:ascii="宋体" w:hAnsi="宋体" w:cs="Arial" w:hint="eastAsia"/>
                <w:sz w:val="24"/>
                <w:szCs w:val="24"/>
              </w:rPr>
              <w:t>ES8.1</w:t>
            </w:r>
          </w:p>
        </w:tc>
        <w:tc>
          <w:tcPr>
            <w:tcW w:w="10004" w:type="dxa"/>
          </w:tcPr>
          <w:p w:rsidR="00874D58" w:rsidRDefault="00E345ED">
            <w:pPr>
              <w:spacing w:line="360" w:lineRule="auto"/>
              <w:ind w:firstLineChars="200" w:firstLine="480"/>
              <w:rPr>
                <w:sz w:val="24"/>
                <w:szCs w:val="24"/>
              </w:rPr>
            </w:pPr>
            <w:r>
              <w:rPr>
                <w:rFonts w:hint="eastAsia"/>
                <w:sz w:val="24"/>
                <w:szCs w:val="24"/>
              </w:rPr>
              <w:t>本部门执行的运行控制文件：</w:t>
            </w:r>
            <w:bookmarkStart w:id="2" w:name="_Toc15899"/>
            <w:r>
              <w:rPr>
                <w:rFonts w:hint="eastAsia"/>
                <w:sz w:val="24"/>
                <w:szCs w:val="24"/>
              </w:rPr>
              <w:t>固废物管理制度</w:t>
            </w:r>
            <w:bookmarkEnd w:id="2"/>
            <w:r>
              <w:rPr>
                <w:rFonts w:hint="eastAsia"/>
                <w:sz w:val="24"/>
                <w:szCs w:val="24"/>
              </w:rPr>
              <w:t>、能源资源管理制度、</w:t>
            </w:r>
            <w:bookmarkStart w:id="3" w:name="_Toc29826"/>
            <w:r>
              <w:rPr>
                <w:rFonts w:hint="eastAsia"/>
                <w:sz w:val="24"/>
                <w:szCs w:val="24"/>
              </w:rPr>
              <w:t>消防安全管理制度</w:t>
            </w:r>
            <w:bookmarkEnd w:id="3"/>
            <w:r>
              <w:rPr>
                <w:rFonts w:hint="eastAsia"/>
                <w:sz w:val="24"/>
                <w:szCs w:val="24"/>
              </w:rPr>
              <w:t>、</w:t>
            </w:r>
            <w:bookmarkStart w:id="4" w:name="_Toc28242"/>
            <w:r>
              <w:rPr>
                <w:rFonts w:hint="eastAsia"/>
                <w:sz w:val="24"/>
                <w:szCs w:val="24"/>
              </w:rPr>
              <w:t>相关方施加影响管理制度</w:t>
            </w:r>
            <w:bookmarkEnd w:id="4"/>
            <w:r>
              <w:rPr>
                <w:rFonts w:hint="eastAsia"/>
                <w:sz w:val="24"/>
                <w:szCs w:val="24"/>
              </w:rPr>
              <w:t>、</w:t>
            </w:r>
            <w:bookmarkStart w:id="5" w:name="_Toc10517"/>
            <w:r>
              <w:rPr>
                <w:rFonts w:hint="eastAsia"/>
                <w:sz w:val="24"/>
                <w:szCs w:val="24"/>
              </w:rPr>
              <w:t>灭火器使用指导书</w:t>
            </w:r>
            <w:bookmarkEnd w:id="5"/>
            <w:r>
              <w:rPr>
                <w:rFonts w:hint="eastAsia"/>
                <w:sz w:val="24"/>
                <w:szCs w:val="24"/>
              </w:rPr>
              <w:t>、资源、能源节约作业指导书、绿色办公作业指</w:t>
            </w:r>
            <w:r>
              <w:rPr>
                <w:rFonts w:hint="eastAsia"/>
                <w:sz w:val="24"/>
                <w:szCs w:val="24"/>
              </w:rPr>
              <w:t>导书、</w:t>
            </w:r>
            <w:bookmarkStart w:id="6" w:name="_Toc10123"/>
            <w:r>
              <w:rPr>
                <w:rFonts w:hint="eastAsia"/>
                <w:sz w:val="24"/>
                <w:szCs w:val="24"/>
              </w:rPr>
              <w:t>安全责任制</w:t>
            </w:r>
            <w:bookmarkEnd w:id="6"/>
            <w:r>
              <w:rPr>
                <w:rFonts w:hint="eastAsia"/>
                <w:sz w:val="24"/>
                <w:szCs w:val="24"/>
              </w:rPr>
              <w:t>、</w:t>
            </w:r>
            <w:bookmarkStart w:id="7" w:name="_Toc15957"/>
            <w:r>
              <w:rPr>
                <w:rFonts w:hint="eastAsia"/>
                <w:sz w:val="24"/>
                <w:szCs w:val="24"/>
              </w:rPr>
              <w:t>安全教育制度</w:t>
            </w:r>
            <w:bookmarkEnd w:id="7"/>
            <w:r>
              <w:rPr>
                <w:rFonts w:hint="eastAsia"/>
                <w:sz w:val="24"/>
                <w:szCs w:val="24"/>
              </w:rPr>
              <w:t>、</w:t>
            </w:r>
            <w:bookmarkStart w:id="8" w:name="_Toc8682"/>
            <w:r>
              <w:rPr>
                <w:rFonts w:hint="eastAsia"/>
                <w:sz w:val="24"/>
                <w:szCs w:val="24"/>
              </w:rPr>
              <w:t>职工安全守则</w:t>
            </w:r>
            <w:bookmarkEnd w:id="8"/>
            <w:r>
              <w:rPr>
                <w:rFonts w:hint="eastAsia"/>
                <w:sz w:val="24"/>
                <w:szCs w:val="24"/>
              </w:rPr>
              <w:t>、</w:t>
            </w:r>
            <w:bookmarkStart w:id="9" w:name="_Toc30336"/>
            <w:r>
              <w:rPr>
                <w:rFonts w:hint="eastAsia"/>
                <w:sz w:val="24"/>
                <w:szCs w:val="24"/>
              </w:rPr>
              <w:t>安全检查管理制度</w:t>
            </w:r>
            <w:bookmarkEnd w:id="9"/>
            <w:r>
              <w:rPr>
                <w:rFonts w:hint="eastAsia"/>
                <w:sz w:val="24"/>
                <w:szCs w:val="24"/>
              </w:rPr>
              <w:t>、</w:t>
            </w:r>
            <w:bookmarkStart w:id="10" w:name="_Toc21613"/>
            <w:r>
              <w:rPr>
                <w:rFonts w:hint="eastAsia"/>
                <w:sz w:val="24"/>
                <w:szCs w:val="24"/>
              </w:rPr>
              <w:t>安全考核和奖惩管理制度</w:t>
            </w:r>
            <w:bookmarkEnd w:id="10"/>
            <w:r>
              <w:rPr>
                <w:rFonts w:hint="eastAsia"/>
                <w:sz w:val="24"/>
                <w:szCs w:val="24"/>
              </w:rPr>
              <w:t>等。</w:t>
            </w:r>
          </w:p>
          <w:p w:rsidR="00874D58" w:rsidRDefault="00E345ED">
            <w:pPr>
              <w:pStyle w:val="a0"/>
              <w:ind w:firstLineChars="200" w:firstLine="520"/>
              <w:rPr>
                <w:sz w:val="24"/>
                <w:szCs w:val="24"/>
              </w:rPr>
            </w:pPr>
            <w:r>
              <w:rPr>
                <w:rFonts w:hint="eastAsia"/>
                <w:sz w:val="24"/>
                <w:szCs w:val="24"/>
              </w:rPr>
              <w:lastRenderedPageBreak/>
              <w:t>运行控制情况：</w:t>
            </w:r>
          </w:p>
          <w:p w:rsidR="00874D58" w:rsidRDefault="00E345ED">
            <w:pPr>
              <w:pStyle w:val="a0"/>
              <w:ind w:firstLineChars="200" w:firstLine="520"/>
              <w:rPr>
                <w:rFonts w:ascii="仿宋_GB2312"/>
                <w:sz w:val="24"/>
              </w:rPr>
            </w:pPr>
            <w:r>
              <w:rPr>
                <w:rFonts w:hint="eastAsia"/>
                <w:sz w:val="24"/>
                <w:szCs w:val="24"/>
              </w:rPr>
              <w:t>办公场所</w:t>
            </w:r>
            <w:r>
              <w:rPr>
                <w:rFonts w:ascii="仿宋_GB2312" w:hint="eastAsia"/>
                <w:sz w:val="24"/>
              </w:rPr>
              <w:t>有序整洁；危险废弃物定点收集</w:t>
            </w:r>
            <w:r>
              <w:rPr>
                <w:rFonts w:ascii="仿宋_GB2312" w:hint="eastAsia"/>
                <w:sz w:val="24"/>
              </w:rPr>
              <w:t>交由资质单位处理；</w:t>
            </w:r>
            <w:r>
              <w:rPr>
                <w:rFonts w:ascii="宋体" w:hAnsi="宋体" w:hint="eastAsia"/>
                <w:sz w:val="24"/>
              </w:rPr>
              <w:t>制定固废处理措施</w:t>
            </w:r>
            <w:r>
              <w:rPr>
                <w:rFonts w:ascii="宋体" w:hAnsi="宋体" w:hint="eastAsia"/>
                <w:sz w:val="24"/>
              </w:rPr>
              <w:t>，</w:t>
            </w:r>
            <w:r>
              <w:rPr>
                <w:rFonts w:ascii="仿宋_GB2312" w:hint="eastAsia"/>
                <w:sz w:val="24"/>
              </w:rPr>
              <w:t>对可回收的废弃物</w:t>
            </w:r>
            <w:r>
              <w:rPr>
                <w:rFonts w:ascii="宋体" w:hAnsi="宋体" w:hint="eastAsia"/>
                <w:sz w:val="24"/>
              </w:rPr>
              <w:t>联系固废回收部门及时回收</w:t>
            </w:r>
            <w:r>
              <w:rPr>
                <w:rFonts w:ascii="宋体" w:hAnsi="宋体" w:hint="eastAsia"/>
                <w:sz w:val="24"/>
              </w:rPr>
              <w:t>，</w:t>
            </w:r>
            <w:r>
              <w:rPr>
                <w:rFonts w:ascii="宋体" w:hAnsi="宋体" w:hint="eastAsia"/>
                <w:sz w:val="24"/>
              </w:rPr>
              <w:t>选择合理存放固废位置</w:t>
            </w:r>
            <w:r>
              <w:rPr>
                <w:rFonts w:ascii="宋体" w:hAnsi="宋体" w:hint="eastAsia"/>
                <w:sz w:val="24"/>
              </w:rPr>
              <w:t>，</w:t>
            </w:r>
            <w:r>
              <w:rPr>
                <w:rFonts w:ascii="仿宋_GB2312" w:hint="eastAsia"/>
                <w:sz w:val="24"/>
              </w:rPr>
              <w:t>减少浪费</w:t>
            </w:r>
            <w:r>
              <w:rPr>
                <w:rFonts w:ascii="仿宋_GB2312" w:hint="eastAsia"/>
                <w:sz w:val="24"/>
              </w:rPr>
              <w:t>，</w:t>
            </w:r>
            <w:r>
              <w:rPr>
                <w:rFonts w:ascii="宋体" w:hAnsi="宋体" w:hint="eastAsia"/>
                <w:sz w:val="24"/>
              </w:rPr>
              <w:t>其他废物统一收集后由物业每天回收处置</w:t>
            </w:r>
            <w:r>
              <w:rPr>
                <w:rFonts w:ascii="仿宋_GB2312" w:hint="eastAsia"/>
                <w:sz w:val="24"/>
              </w:rPr>
              <w:t>；</w:t>
            </w:r>
          </w:p>
          <w:p w:rsidR="00874D58" w:rsidRDefault="00E345ED">
            <w:pPr>
              <w:ind w:firstLineChars="200" w:firstLine="480"/>
              <w:rPr>
                <w:rFonts w:ascii="仿宋_GB2312"/>
                <w:sz w:val="24"/>
                <w:szCs w:val="22"/>
              </w:rPr>
            </w:pPr>
            <w:r>
              <w:rPr>
                <w:rFonts w:ascii="仿宋_GB2312" w:hint="eastAsia"/>
                <w:sz w:val="24"/>
              </w:rPr>
              <w:t>能源、资源管理采用可行合理的措施，</w:t>
            </w:r>
            <w:r>
              <w:rPr>
                <w:rFonts w:ascii="仿宋_GB2312" w:hint="eastAsia"/>
                <w:sz w:val="24"/>
              </w:rPr>
              <w:t>尽量</w:t>
            </w:r>
            <w:r>
              <w:rPr>
                <w:rFonts w:ascii="仿宋_GB2312" w:hint="eastAsia"/>
                <w:sz w:val="24"/>
              </w:rPr>
              <w:t>减少各个环节中的损失和浪费能源、资源</w:t>
            </w:r>
            <w:r>
              <w:rPr>
                <w:rFonts w:ascii="仿宋_GB2312" w:hint="eastAsia"/>
                <w:sz w:val="24"/>
              </w:rPr>
              <w:t>。</w:t>
            </w:r>
            <w:r>
              <w:rPr>
                <w:rFonts w:ascii="仿宋_GB2312" w:hint="eastAsia"/>
                <w:sz w:val="24"/>
              </w:rPr>
              <w:t>节约用</w:t>
            </w:r>
            <w:r>
              <w:rPr>
                <w:rFonts w:ascii="仿宋_GB2312" w:hint="eastAsia"/>
                <w:sz w:val="24"/>
              </w:rPr>
              <w:t>水，</w:t>
            </w:r>
            <w:r>
              <w:rPr>
                <w:rFonts w:ascii="仿宋_GB2312" w:hint="eastAsia"/>
                <w:sz w:val="24"/>
              </w:rPr>
              <w:t>保护用水设备</w:t>
            </w:r>
            <w:r>
              <w:rPr>
                <w:rFonts w:ascii="仿宋_GB2312" w:hint="eastAsia"/>
                <w:sz w:val="24"/>
              </w:rPr>
              <w:t>，</w:t>
            </w:r>
            <w:r>
              <w:rPr>
                <w:rFonts w:ascii="仿宋_GB2312" w:hint="eastAsia"/>
                <w:sz w:val="24"/>
              </w:rPr>
              <w:t>树立节电意识，下班时关闭</w:t>
            </w:r>
            <w:r>
              <w:rPr>
                <w:rFonts w:ascii="仿宋_GB2312" w:hint="eastAsia"/>
                <w:sz w:val="24"/>
              </w:rPr>
              <w:t>电源。</w:t>
            </w:r>
            <w:r>
              <w:rPr>
                <w:rFonts w:ascii="仿宋_GB2312" w:hint="eastAsia"/>
                <w:sz w:val="24"/>
              </w:rPr>
              <w:t>合理</w:t>
            </w:r>
            <w:r>
              <w:rPr>
                <w:rFonts w:ascii="仿宋_GB2312" w:hint="eastAsia"/>
                <w:sz w:val="24"/>
              </w:rPr>
              <w:t>充分</w:t>
            </w:r>
            <w:r>
              <w:rPr>
                <w:rFonts w:ascii="仿宋_GB2312" w:hint="eastAsia"/>
                <w:sz w:val="24"/>
              </w:rPr>
              <w:t>使用纸张</w:t>
            </w:r>
            <w:r>
              <w:rPr>
                <w:rFonts w:ascii="仿宋_GB2312" w:hint="eastAsia"/>
                <w:sz w:val="24"/>
              </w:rPr>
              <w:t>，</w:t>
            </w:r>
            <w:r>
              <w:rPr>
                <w:rFonts w:ascii="仿宋_GB2312" w:hint="eastAsia"/>
                <w:sz w:val="24"/>
              </w:rPr>
              <w:t>合理安</w:t>
            </w:r>
            <w:r>
              <w:rPr>
                <w:rFonts w:ascii="仿宋_GB2312" w:hint="eastAsia"/>
                <w:sz w:val="24"/>
                <w:szCs w:val="22"/>
              </w:rPr>
              <w:t>排出车的次数和路线。</w:t>
            </w:r>
          </w:p>
          <w:p w:rsidR="00874D58" w:rsidRDefault="00E345ED">
            <w:pPr>
              <w:ind w:firstLineChars="200" w:firstLine="480"/>
              <w:rPr>
                <w:rFonts w:ascii="仿宋_GB2312"/>
                <w:sz w:val="24"/>
                <w:szCs w:val="22"/>
              </w:rPr>
            </w:pPr>
            <w:r>
              <w:rPr>
                <w:rFonts w:ascii="仿宋_GB2312" w:hint="eastAsia"/>
                <w:sz w:val="24"/>
                <w:szCs w:val="22"/>
              </w:rPr>
              <w:t>消防安全根据公司规定开展消防安全教育、培训。有防火巡查、检查制度，安全疏散设施管理制度，消防设施、器材维护管理制度。</w:t>
            </w:r>
            <w:r>
              <w:rPr>
                <w:rFonts w:ascii="仿宋_GB2312" w:hint="eastAsia"/>
                <w:sz w:val="24"/>
                <w:szCs w:val="22"/>
              </w:rPr>
              <w:t>办公场所设置禁烟警示标识；配备足够灭火器</w:t>
            </w:r>
            <w:r>
              <w:rPr>
                <w:rFonts w:ascii="仿宋_GB2312" w:hint="eastAsia"/>
                <w:sz w:val="24"/>
                <w:szCs w:val="22"/>
              </w:rPr>
              <w:t>，</w:t>
            </w:r>
            <w:r>
              <w:rPr>
                <w:rFonts w:ascii="仿宋_GB2312" w:hint="eastAsia"/>
                <w:sz w:val="24"/>
                <w:szCs w:val="22"/>
              </w:rPr>
              <w:t>消防栓、烟雾报警装置等消防设施</w:t>
            </w:r>
            <w:r>
              <w:rPr>
                <w:rFonts w:ascii="仿宋_GB2312" w:hint="eastAsia"/>
                <w:sz w:val="24"/>
                <w:szCs w:val="22"/>
              </w:rPr>
              <w:t>；对火灾进行应急预案演练</w:t>
            </w:r>
            <w:r>
              <w:rPr>
                <w:rFonts w:ascii="仿宋_GB2312" w:hint="eastAsia"/>
                <w:sz w:val="24"/>
                <w:szCs w:val="22"/>
              </w:rPr>
              <w:t>；</w:t>
            </w:r>
            <w:r>
              <w:rPr>
                <w:rFonts w:ascii="仿宋_GB2312" w:hint="eastAsia"/>
                <w:sz w:val="24"/>
                <w:szCs w:val="22"/>
              </w:rPr>
              <w:t>定期检查，及时排除火灾隐患</w:t>
            </w:r>
            <w:r>
              <w:rPr>
                <w:rFonts w:ascii="仿宋_GB2312" w:hint="eastAsia"/>
                <w:sz w:val="24"/>
                <w:szCs w:val="22"/>
              </w:rPr>
              <w:t>。</w:t>
            </w:r>
          </w:p>
          <w:p w:rsidR="00874D58" w:rsidRDefault="00E345ED">
            <w:pPr>
              <w:ind w:firstLineChars="200" w:firstLine="480"/>
              <w:rPr>
                <w:rFonts w:ascii="仿宋_GB2312"/>
                <w:sz w:val="24"/>
                <w:szCs w:val="22"/>
              </w:rPr>
            </w:pPr>
            <w:r>
              <w:rPr>
                <w:rFonts w:ascii="仿宋_GB2312" w:hint="eastAsia"/>
                <w:sz w:val="24"/>
                <w:szCs w:val="22"/>
              </w:rPr>
              <w:t>触电安全，安全用电培训，制定操作规程，配电箱安装漏电保护器，安全标识，定期检查，电源调试电线安装防护管，办公区域安装线槽固定，组织人员编制应急预案和消防演练。</w:t>
            </w:r>
          </w:p>
          <w:p w:rsidR="00874D58" w:rsidRDefault="00E345ED">
            <w:pPr>
              <w:ind w:firstLineChars="200" w:firstLine="480"/>
              <w:rPr>
                <w:rFonts w:ascii="仿宋_GB2312"/>
                <w:sz w:val="24"/>
                <w:szCs w:val="22"/>
              </w:rPr>
            </w:pPr>
            <w:r>
              <w:rPr>
                <w:rFonts w:ascii="仿宋_GB2312" w:hint="eastAsia"/>
                <w:sz w:val="24"/>
                <w:szCs w:val="22"/>
              </w:rPr>
              <w:t>办公场所配备有应急药箱，消毒用品等。</w:t>
            </w:r>
          </w:p>
          <w:p w:rsidR="00874D58" w:rsidRDefault="00E345ED">
            <w:pPr>
              <w:ind w:firstLineChars="200" w:firstLine="480"/>
              <w:rPr>
                <w:rFonts w:ascii="仿宋_GB2312"/>
                <w:sz w:val="24"/>
                <w:szCs w:val="22"/>
              </w:rPr>
            </w:pPr>
            <w:r>
              <w:rPr>
                <w:rFonts w:ascii="仿宋_GB2312" w:hint="eastAsia"/>
                <w:sz w:val="24"/>
                <w:szCs w:val="22"/>
              </w:rPr>
              <w:t>经沟通，确认外出人员与相关方管理，系统集成方案的技术实施人员严格按照公司规定外出，参与施工现场人员严格遵守公司安全规定，同时必须符合相关方施工现场要求。</w:t>
            </w:r>
          </w:p>
          <w:p w:rsidR="00874D58" w:rsidRDefault="00E345ED">
            <w:pPr>
              <w:ind w:firstLineChars="200" w:firstLine="480"/>
              <w:rPr>
                <w:rFonts w:ascii="仿宋_GB2312"/>
                <w:sz w:val="24"/>
                <w:szCs w:val="22"/>
              </w:rPr>
            </w:pPr>
            <w:r>
              <w:rPr>
                <w:rFonts w:ascii="仿宋_GB2312" w:hint="eastAsia"/>
                <w:sz w:val="24"/>
                <w:szCs w:val="22"/>
              </w:rPr>
              <w:t>实施日常环境安全运行检</w:t>
            </w:r>
            <w:bookmarkStart w:id="11" w:name="_GoBack"/>
            <w:bookmarkEnd w:id="11"/>
            <w:r>
              <w:rPr>
                <w:rFonts w:ascii="仿宋_GB2312" w:hint="eastAsia"/>
                <w:sz w:val="24"/>
                <w:szCs w:val="22"/>
              </w:rPr>
              <w:t>查，每日上下班时间在范围内安全环境、设施、设备安全状况等进行自查、自改。</w:t>
            </w:r>
          </w:p>
          <w:p w:rsidR="00874D58" w:rsidRDefault="00874D58">
            <w:pPr>
              <w:pStyle w:val="a0"/>
              <w:ind w:firstLine="480"/>
              <w:rPr>
                <w:rFonts w:ascii="仿宋_GB2312"/>
                <w:sz w:val="24"/>
              </w:rPr>
            </w:pPr>
          </w:p>
          <w:p w:rsidR="00874D58" w:rsidRDefault="00E345ED">
            <w:pPr>
              <w:pStyle w:val="a0"/>
              <w:ind w:firstLine="480"/>
              <w:jc w:val="center"/>
            </w:pPr>
            <w:r>
              <w:rPr>
                <w:noProof/>
              </w:rPr>
              <w:lastRenderedPageBreak/>
              <w:drawing>
                <wp:inline distT="0" distB="0" distL="114300" distR="114300">
                  <wp:extent cx="2312670" cy="2007235"/>
                  <wp:effectExtent l="0" t="0" r="11430" b="1206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cstate="print"/>
                          <a:stretch>
                            <a:fillRect/>
                          </a:stretch>
                        </pic:blipFill>
                        <pic:spPr>
                          <a:xfrm>
                            <a:off x="0" y="0"/>
                            <a:ext cx="2312670" cy="2007235"/>
                          </a:xfrm>
                          <a:prstGeom prst="rect">
                            <a:avLst/>
                          </a:prstGeom>
                          <a:noFill/>
                          <a:ln>
                            <a:noFill/>
                          </a:ln>
                        </pic:spPr>
                      </pic:pic>
                    </a:graphicData>
                  </a:graphic>
                </wp:inline>
              </w:drawing>
            </w:r>
            <w:r>
              <w:rPr>
                <w:rFonts w:hint="eastAsia"/>
              </w:rPr>
              <w:t xml:space="preserve">  </w:t>
            </w:r>
            <w:r>
              <w:rPr>
                <w:noProof/>
              </w:rPr>
              <w:drawing>
                <wp:inline distT="0" distB="0" distL="114300" distR="114300">
                  <wp:extent cx="1955800" cy="2018030"/>
                  <wp:effectExtent l="0" t="0" r="635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cstate="print"/>
                          <a:stretch>
                            <a:fillRect/>
                          </a:stretch>
                        </pic:blipFill>
                        <pic:spPr>
                          <a:xfrm>
                            <a:off x="0" y="0"/>
                            <a:ext cx="1955800" cy="2018030"/>
                          </a:xfrm>
                          <a:prstGeom prst="rect">
                            <a:avLst/>
                          </a:prstGeom>
                          <a:noFill/>
                          <a:ln>
                            <a:noFill/>
                          </a:ln>
                        </pic:spPr>
                      </pic:pic>
                    </a:graphicData>
                  </a:graphic>
                </wp:inline>
              </w:drawing>
            </w:r>
            <w:r>
              <w:rPr>
                <w:rFonts w:hint="eastAsia"/>
              </w:rPr>
              <w:t xml:space="preserve"> </w:t>
            </w:r>
            <w:r>
              <w:rPr>
                <w:noProof/>
              </w:rPr>
              <w:drawing>
                <wp:inline distT="0" distB="0" distL="114300" distR="114300">
                  <wp:extent cx="2757805" cy="1903095"/>
                  <wp:effectExtent l="0" t="0" r="4445" b="19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cstate="print"/>
                          <a:stretch>
                            <a:fillRect/>
                          </a:stretch>
                        </pic:blipFill>
                        <pic:spPr>
                          <a:xfrm>
                            <a:off x="0" y="0"/>
                            <a:ext cx="2757805" cy="1903095"/>
                          </a:xfrm>
                          <a:prstGeom prst="rect">
                            <a:avLst/>
                          </a:prstGeom>
                          <a:noFill/>
                          <a:ln>
                            <a:noFill/>
                          </a:ln>
                        </pic:spPr>
                      </pic:pic>
                    </a:graphicData>
                  </a:graphic>
                </wp:inline>
              </w:drawing>
            </w:r>
            <w:r>
              <w:rPr>
                <w:rFonts w:hint="eastAsia"/>
              </w:rPr>
              <w:t xml:space="preserve">   </w:t>
            </w:r>
            <w:r>
              <w:rPr>
                <w:noProof/>
              </w:rPr>
              <w:drawing>
                <wp:inline distT="0" distB="0" distL="114300" distR="114300">
                  <wp:extent cx="2634615" cy="1922145"/>
                  <wp:effectExtent l="0" t="0" r="13335"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cstate="print"/>
                          <a:stretch>
                            <a:fillRect/>
                          </a:stretch>
                        </pic:blipFill>
                        <pic:spPr>
                          <a:xfrm>
                            <a:off x="0" y="0"/>
                            <a:ext cx="2634615" cy="1922145"/>
                          </a:xfrm>
                          <a:prstGeom prst="rect">
                            <a:avLst/>
                          </a:prstGeom>
                          <a:noFill/>
                          <a:ln>
                            <a:noFill/>
                          </a:ln>
                        </pic:spPr>
                      </pic:pic>
                    </a:graphicData>
                  </a:graphic>
                </wp:inline>
              </w:drawing>
            </w:r>
          </w:p>
          <w:p w:rsidR="00874D58" w:rsidRDefault="00E345ED">
            <w:pPr>
              <w:pStyle w:val="a0"/>
              <w:rPr>
                <w:rFonts w:ascii="仿宋_GB2312"/>
                <w:sz w:val="24"/>
              </w:rPr>
            </w:pPr>
            <w:r>
              <w:rPr>
                <w:rFonts w:hint="eastAsia"/>
              </w:rPr>
              <w:lastRenderedPageBreak/>
              <w:t xml:space="preserve"> </w:t>
            </w:r>
            <w:r>
              <w:rPr>
                <w:noProof/>
              </w:rPr>
              <w:drawing>
                <wp:inline distT="0" distB="0" distL="114300" distR="114300">
                  <wp:extent cx="1692275" cy="2073275"/>
                  <wp:effectExtent l="0" t="0" r="3175"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cstate="print"/>
                          <a:stretch>
                            <a:fillRect/>
                          </a:stretch>
                        </pic:blipFill>
                        <pic:spPr>
                          <a:xfrm>
                            <a:off x="0" y="0"/>
                            <a:ext cx="1692275" cy="2073275"/>
                          </a:xfrm>
                          <a:prstGeom prst="rect">
                            <a:avLst/>
                          </a:prstGeom>
                          <a:noFill/>
                          <a:ln>
                            <a:noFill/>
                          </a:ln>
                        </pic:spPr>
                      </pic:pic>
                    </a:graphicData>
                  </a:graphic>
                </wp:inline>
              </w:drawing>
            </w:r>
            <w:r>
              <w:rPr>
                <w:rFonts w:hint="eastAsia"/>
              </w:rPr>
              <w:t xml:space="preserve">  </w:t>
            </w:r>
            <w:r>
              <w:rPr>
                <w:noProof/>
              </w:rPr>
              <w:drawing>
                <wp:inline distT="0" distB="0" distL="114300" distR="114300">
                  <wp:extent cx="1638300" cy="211455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cstate="print"/>
                          <a:stretch>
                            <a:fillRect/>
                          </a:stretch>
                        </pic:blipFill>
                        <pic:spPr>
                          <a:xfrm>
                            <a:off x="0" y="0"/>
                            <a:ext cx="1638300" cy="2114550"/>
                          </a:xfrm>
                          <a:prstGeom prst="rect">
                            <a:avLst/>
                          </a:prstGeom>
                          <a:noFill/>
                          <a:ln>
                            <a:noFill/>
                          </a:ln>
                        </pic:spPr>
                      </pic:pic>
                    </a:graphicData>
                  </a:graphic>
                </wp:inline>
              </w:drawing>
            </w:r>
            <w:r>
              <w:rPr>
                <w:rFonts w:hint="eastAsia"/>
              </w:rPr>
              <w:t xml:space="preserve">  </w:t>
            </w:r>
            <w:r>
              <w:rPr>
                <w:noProof/>
              </w:rPr>
              <w:drawing>
                <wp:inline distT="0" distB="0" distL="114300" distR="114300">
                  <wp:extent cx="2406015" cy="1814830"/>
                  <wp:effectExtent l="0" t="0" r="13335" b="139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cstate="print"/>
                          <a:stretch>
                            <a:fillRect/>
                          </a:stretch>
                        </pic:blipFill>
                        <pic:spPr>
                          <a:xfrm>
                            <a:off x="0" y="0"/>
                            <a:ext cx="2406015" cy="1814830"/>
                          </a:xfrm>
                          <a:prstGeom prst="rect">
                            <a:avLst/>
                          </a:prstGeom>
                          <a:noFill/>
                          <a:ln>
                            <a:noFill/>
                          </a:ln>
                        </pic:spPr>
                      </pic:pic>
                    </a:graphicData>
                  </a:graphic>
                </wp:inline>
              </w:drawing>
            </w:r>
          </w:p>
          <w:p w:rsidR="00874D58" w:rsidRDefault="00874D58">
            <w:pPr>
              <w:pStyle w:val="a0"/>
              <w:ind w:firstLine="480"/>
              <w:rPr>
                <w:rFonts w:ascii="仿宋_GB2312"/>
                <w:sz w:val="24"/>
              </w:rPr>
            </w:pPr>
          </w:p>
          <w:p w:rsidR="00874D58" w:rsidRDefault="00874D58">
            <w:pPr>
              <w:pStyle w:val="a0"/>
              <w:ind w:firstLine="480"/>
              <w:jc w:val="center"/>
              <w:rPr>
                <w:rFonts w:ascii="仿宋_GB2312"/>
                <w:sz w:val="24"/>
              </w:rPr>
            </w:pPr>
          </w:p>
        </w:tc>
        <w:tc>
          <w:tcPr>
            <w:tcW w:w="1585" w:type="dxa"/>
          </w:tcPr>
          <w:p w:rsidR="00874D58" w:rsidRDefault="00E345ED">
            <w:r>
              <w:rPr>
                <w:rFonts w:hint="eastAsia"/>
              </w:rPr>
              <w:lastRenderedPageBreak/>
              <w:t>Y</w:t>
            </w:r>
          </w:p>
        </w:tc>
      </w:tr>
      <w:tr w:rsidR="00874D58">
        <w:trPr>
          <w:trHeight w:val="1255"/>
        </w:trPr>
        <w:tc>
          <w:tcPr>
            <w:tcW w:w="2160" w:type="dxa"/>
          </w:tcPr>
          <w:p w:rsidR="00874D58" w:rsidRDefault="00E345ED">
            <w:pPr>
              <w:spacing w:line="288" w:lineRule="auto"/>
              <w:rPr>
                <w:szCs w:val="22"/>
              </w:rPr>
            </w:pPr>
            <w:r>
              <w:rPr>
                <w:rFonts w:ascii="宋体" w:hAnsi="宋体" w:cs="Arial" w:hint="eastAsia"/>
                <w:szCs w:val="21"/>
              </w:rPr>
              <w:lastRenderedPageBreak/>
              <w:t>应急准备和响应</w:t>
            </w:r>
          </w:p>
        </w:tc>
        <w:tc>
          <w:tcPr>
            <w:tcW w:w="960" w:type="dxa"/>
          </w:tcPr>
          <w:p w:rsidR="00874D58" w:rsidRDefault="00E345ED">
            <w:pPr>
              <w:pStyle w:val="a0"/>
            </w:pPr>
            <w:r>
              <w:rPr>
                <w:rFonts w:ascii="宋体" w:hAnsi="宋体" w:cs="Arial" w:hint="eastAsia"/>
                <w:sz w:val="24"/>
                <w:szCs w:val="24"/>
              </w:rPr>
              <w:t>ES8.2</w:t>
            </w:r>
          </w:p>
        </w:tc>
        <w:tc>
          <w:tcPr>
            <w:tcW w:w="10004" w:type="dxa"/>
          </w:tcPr>
          <w:p w:rsidR="00874D58" w:rsidRDefault="00E345ED">
            <w:pPr>
              <w:spacing w:line="360" w:lineRule="auto"/>
              <w:ind w:firstLineChars="200" w:firstLine="480"/>
              <w:rPr>
                <w:rFonts w:ascii="宋体" w:hAnsi="宋体" w:cs="宋体"/>
                <w:position w:val="-1"/>
                <w:sz w:val="24"/>
                <w:szCs w:val="24"/>
              </w:rPr>
            </w:pPr>
            <w:r>
              <w:rPr>
                <w:rFonts w:ascii="宋体" w:hAnsi="宋体" w:cs="宋体" w:hint="eastAsia"/>
                <w:position w:val="-1"/>
                <w:sz w:val="24"/>
                <w:szCs w:val="24"/>
              </w:rPr>
              <w:t>提供了《应急准备与响应程序》、《火灾事故应急预案》，《高温中暑应急预案》、《触电事故专项应急预案》、《疫情防控预案》，其中包括目的、职责、</w:t>
            </w:r>
            <w:r>
              <w:rPr>
                <w:rFonts w:ascii="宋体" w:hAnsi="宋体" w:cs="宋体" w:hint="eastAsia"/>
                <w:position w:val="-1"/>
                <w:sz w:val="24"/>
                <w:szCs w:val="24"/>
              </w:rPr>
              <w:t>预防预警，</w:t>
            </w:r>
            <w:r>
              <w:rPr>
                <w:rFonts w:ascii="宋体" w:hAnsi="宋体" w:cs="宋体" w:hint="eastAsia"/>
                <w:position w:val="-1"/>
                <w:sz w:val="24"/>
                <w:szCs w:val="24"/>
              </w:rPr>
              <w:t>应急</w:t>
            </w:r>
            <w:r>
              <w:rPr>
                <w:rFonts w:ascii="宋体" w:hAnsi="宋体" w:cs="宋体" w:hint="eastAsia"/>
                <w:position w:val="-1"/>
                <w:sz w:val="24"/>
                <w:szCs w:val="24"/>
              </w:rPr>
              <w:t>处置</w:t>
            </w:r>
            <w:r>
              <w:rPr>
                <w:rFonts w:ascii="宋体" w:hAnsi="宋体" w:cs="宋体" w:hint="eastAsia"/>
                <w:position w:val="-1"/>
                <w:sz w:val="24"/>
                <w:szCs w:val="24"/>
              </w:rPr>
              <w:t>、处置</w:t>
            </w:r>
            <w:r>
              <w:rPr>
                <w:rFonts w:ascii="宋体" w:hAnsi="宋体" w:cs="宋体" w:hint="eastAsia"/>
                <w:position w:val="-1"/>
                <w:sz w:val="24"/>
                <w:szCs w:val="24"/>
              </w:rPr>
              <w:t>措施</w:t>
            </w:r>
            <w:r>
              <w:rPr>
                <w:rFonts w:ascii="宋体" w:hAnsi="宋体" w:cs="宋体" w:hint="eastAsia"/>
                <w:position w:val="-1"/>
                <w:sz w:val="24"/>
                <w:szCs w:val="24"/>
              </w:rPr>
              <w:t>等，相关内容基本充分。</w:t>
            </w:r>
          </w:p>
          <w:p w:rsidR="00874D58" w:rsidRDefault="00E345ED">
            <w:pPr>
              <w:spacing w:line="360" w:lineRule="auto"/>
              <w:ind w:firstLineChars="200" w:firstLine="480"/>
              <w:rPr>
                <w:rFonts w:ascii="宋体" w:hAnsi="宋体" w:cs="宋体"/>
                <w:position w:val="-1"/>
                <w:sz w:val="24"/>
                <w:szCs w:val="24"/>
              </w:rPr>
            </w:pPr>
            <w:r>
              <w:rPr>
                <w:rFonts w:ascii="宋体" w:hAnsi="宋体" w:cs="宋体" w:hint="eastAsia"/>
                <w:position w:val="-1"/>
                <w:sz w:val="24"/>
                <w:szCs w:val="24"/>
              </w:rPr>
              <w:t>参加</w:t>
            </w:r>
            <w:r>
              <w:rPr>
                <w:rFonts w:ascii="宋体" w:hAnsi="宋体" w:cs="宋体" w:hint="eastAsia"/>
                <w:sz w:val="24"/>
                <w:szCs w:val="24"/>
              </w:rPr>
              <w:t>综合办公室</w:t>
            </w:r>
            <w:r>
              <w:rPr>
                <w:rFonts w:ascii="宋体" w:hAnsi="宋体" w:cs="宋体" w:hint="eastAsia"/>
                <w:position w:val="-1"/>
                <w:sz w:val="24"/>
                <w:szCs w:val="24"/>
              </w:rPr>
              <w:t>组织的应急培训和演练，</w:t>
            </w:r>
            <w:r>
              <w:rPr>
                <w:rFonts w:ascii="宋体" w:hAnsi="宋体" w:cs="宋体" w:hint="eastAsia"/>
                <w:position w:val="-1"/>
                <w:sz w:val="24"/>
                <w:szCs w:val="24"/>
              </w:rPr>
              <w:t>查</w:t>
            </w:r>
            <w:r>
              <w:rPr>
                <w:rFonts w:ascii="宋体" w:hAnsi="宋体" w:cs="宋体" w:hint="eastAsia"/>
                <w:position w:val="-1"/>
                <w:sz w:val="24"/>
                <w:szCs w:val="24"/>
              </w:rPr>
              <w:t>消防灭火演练</w:t>
            </w:r>
            <w:r>
              <w:rPr>
                <w:rFonts w:ascii="宋体" w:hAnsi="宋体" w:cs="宋体" w:hint="eastAsia"/>
                <w:position w:val="-1"/>
                <w:sz w:val="24"/>
                <w:szCs w:val="24"/>
              </w:rPr>
              <w:t>记录</w:t>
            </w:r>
            <w:r>
              <w:rPr>
                <w:rFonts w:ascii="宋体" w:hAnsi="宋体" w:cs="宋体" w:hint="eastAsia"/>
                <w:position w:val="-1"/>
                <w:sz w:val="24"/>
                <w:szCs w:val="24"/>
              </w:rPr>
              <w:t>，演练时间</w:t>
            </w:r>
            <w:r>
              <w:rPr>
                <w:rFonts w:ascii="宋体" w:hAnsi="宋体" w:cs="宋体" w:hint="eastAsia"/>
                <w:position w:val="-1"/>
                <w:sz w:val="24"/>
                <w:szCs w:val="24"/>
              </w:rPr>
              <w:t>202</w:t>
            </w:r>
            <w:r>
              <w:rPr>
                <w:rFonts w:ascii="宋体" w:hAnsi="宋体" w:cs="宋体" w:hint="eastAsia"/>
                <w:position w:val="-1"/>
                <w:sz w:val="24"/>
                <w:szCs w:val="24"/>
              </w:rPr>
              <w:t>2</w:t>
            </w:r>
            <w:r>
              <w:rPr>
                <w:rFonts w:ascii="宋体" w:hAnsi="宋体" w:cs="宋体" w:hint="eastAsia"/>
                <w:position w:val="-1"/>
                <w:sz w:val="24"/>
                <w:szCs w:val="24"/>
              </w:rPr>
              <w:t>.</w:t>
            </w:r>
            <w:r>
              <w:rPr>
                <w:rFonts w:ascii="宋体" w:hAnsi="宋体" w:cs="宋体" w:hint="eastAsia"/>
                <w:position w:val="-1"/>
                <w:sz w:val="24"/>
                <w:szCs w:val="24"/>
              </w:rPr>
              <w:t>2</w:t>
            </w:r>
            <w:r>
              <w:rPr>
                <w:rFonts w:ascii="宋体" w:hAnsi="宋体" w:cs="宋体" w:hint="eastAsia"/>
                <w:position w:val="-1"/>
                <w:sz w:val="24"/>
                <w:szCs w:val="24"/>
              </w:rPr>
              <w:t>.</w:t>
            </w:r>
            <w:r>
              <w:rPr>
                <w:rFonts w:ascii="宋体" w:hAnsi="宋体" w:cs="宋体" w:hint="eastAsia"/>
                <w:position w:val="-1"/>
                <w:sz w:val="24"/>
                <w:szCs w:val="24"/>
              </w:rPr>
              <w:t>25</w:t>
            </w:r>
            <w:r>
              <w:rPr>
                <w:rFonts w:ascii="宋体" w:hAnsi="宋体" w:cs="宋体" w:hint="eastAsia"/>
                <w:position w:val="-1"/>
                <w:sz w:val="24"/>
                <w:szCs w:val="24"/>
              </w:rPr>
              <w:t>，</w:t>
            </w:r>
            <w:r>
              <w:rPr>
                <w:rFonts w:ascii="宋体" w:hAnsi="宋体" w:cs="宋体" w:hint="eastAsia"/>
                <w:position w:val="-1"/>
                <w:sz w:val="24"/>
                <w:szCs w:val="24"/>
              </w:rPr>
              <w:t>演习地址本公司会议室，</w:t>
            </w:r>
            <w:r>
              <w:rPr>
                <w:rFonts w:ascii="宋体" w:hAnsi="宋体" w:cs="宋体" w:hint="eastAsia"/>
                <w:position w:val="-1"/>
                <w:sz w:val="24"/>
                <w:szCs w:val="24"/>
              </w:rPr>
              <w:t>参加</w:t>
            </w:r>
            <w:r>
              <w:rPr>
                <w:rFonts w:ascii="宋体" w:hAnsi="宋体" w:cs="宋体" w:hint="eastAsia"/>
                <w:position w:val="-1"/>
                <w:sz w:val="24"/>
                <w:szCs w:val="24"/>
              </w:rPr>
              <w:t>部门</w:t>
            </w:r>
            <w:r>
              <w:rPr>
                <w:rFonts w:ascii="宋体" w:hAnsi="宋体" w:cs="宋体" w:hint="eastAsia"/>
                <w:position w:val="-1"/>
                <w:sz w:val="24"/>
                <w:szCs w:val="24"/>
              </w:rPr>
              <w:t>：</w:t>
            </w:r>
            <w:r>
              <w:rPr>
                <w:rFonts w:ascii="宋体" w:hAnsi="宋体" w:cs="宋体" w:hint="eastAsia"/>
                <w:sz w:val="24"/>
                <w:szCs w:val="24"/>
              </w:rPr>
              <w:t>综合办公室</w:t>
            </w:r>
            <w:r>
              <w:rPr>
                <w:rFonts w:ascii="宋体" w:hAnsi="宋体" w:cs="宋体" w:hint="eastAsia"/>
                <w:sz w:val="24"/>
                <w:szCs w:val="24"/>
              </w:rPr>
              <w:t>、</w:t>
            </w:r>
            <w:r>
              <w:rPr>
                <w:rFonts w:ascii="宋体" w:hAnsi="宋体" w:cs="宋体" w:hint="eastAsia"/>
                <w:sz w:val="24"/>
                <w:szCs w:val="24"/>
              </w:rPr>
              <w:t>市场部、</w:t>
            </w:r>
            <w:r>
              <w:rPr>
                <w:rFonts w:ascii="宋体" w:hAnsi="宋体" w:cs="宋体" w:hint="eastAsia"/>
                <w:sz w:val="24"/>
                <w:szCs w:val="24"/>
              </w:rPr>
              <w:t>开发部</w:t>
            </w:r>
            <w:r>
              <w:rPr>
                <w:rFonts w:ascii="宋体" w:hAnsi="宋体" w:cs="宋体" w:hint="eastAsia"/>
                <w:position w:val="-1"/>
                <w:sz w:val="24"/>
                <w:szCs w:val="24"/>
              </w:rPr>
              <w:t>。演练过程</w:t>
            </w:r>
            <w:r>
              <w:rPr>
                <w:rFonts w:ascii="宋体" w:hAnsi="宋体" w:cs="宋体" w:hint="eastAsia"/>
                <w:position w:val="-1"/>
                <w:sz w:val="24"/>
                <w:szCs w:val="24"/>
              </w:rPr>
              <w:t>详见</w:t>
            </w:r>
            <w:r>
              <w:rPr>
                <w:rFonts w:ascii="宋体" w:hAnsi="宋体" w:cs="宋体" w:hint="eastAsia"/>
                <w:sz w:val="24"/>
                <w:szCs w:val="24"/>
              </w:rPr>
              <w:t>综合办公室</w:t>
            </w:r>
            <w:r>
              <w:rPr>
                <w:rFonts w:ascii="宋体" w:hAnsi="宋体" w:cs="宋体" w:hint="eastAsia"/>
                <w:position w:val="-1"/>
                <w:sz w:val="24"/>
                <w:szCs w:val="24"/>
              </w:rPr>
              <w:t>描述</w:t>
            </w:r>
            <w:r>
              <w:rPr>
                <w:rFonts w:ascii="宋体" w:hAnsi="宋体" w:cs="宋体" w:hint="eastAsia"/>
                <w:position w:val="-1"/>
                <w:sz w:val="24"/>
                <w:szCs w:val="24"/>
              </w:rPr>
              <w:t>。</w:t>
            </w:r>
          </w:p>
          <w:p w:rsidR="00874D58" w:rsidRDefault="00E345ED">
            <w:pPr>
              <w:spacing w:line="360" w:lineRule="auto"/>
              <w:ind w:firstLineChars="200" w:firstLine="480"/>
            </w:pPr>
            <w:r>
              <w:rPr>
                <w:rFonts w:ascii="宋体" w:hAnsi="宋体" w:cs="宋体" w:hint="eastAsia"/>
                <w:position w:val="-1"/>
                <w:sz w:val="24"/>
                <w:szCs w:val="24"/>
              </w:rPr>
              <w:t>目前未发生火灾、人身伤害等事故。现场查看组织的办公区域消防器材配置合理，状态</w:t>
            </w:r>
            <w:r>
              <w:rPr>
                <w:rFonts w:ascii="宋体" w:hAnsi="宋体" w:cs="宋体" w:hint="eastAsia"/>
                <w:position w:val="-1"/>
                <w:sz w:val="24"/>
                <w:szCs w:val="24"/>
              </w:rPr>
              <w:t>正常</w:t>
            </w:r>
            <w:r>
              <w:rPr>
                <w:rFonts w:ascii="宋体" w:hAnsi="宋体" w:cs="宋体" w:hint="eastAsia"/>
                <w:position w:val="-1"/>
                <w:sz w:val="24"/>
                <w:szCs w:val="24"/>
              </w:rPr>
              <w:t>，</w:t>
            </w:r>
            <w:r>
              <w:rPr>
                <w:rFonts w:ascii="宋体" w:hAnsi="宋体" w:cs="宋体" w:hint="eastAsia"/>
                <w:position w:val="-1"/>
                <w:sz w:val="24"/>
                <w:szCs w:val="24"/>
              </w:rPr>
              <w:t>灭火器于</w:t>
            </w:r>
            <w:r>
              <w:rPr>
                <w:rFonts w:ascii="宋体" w:hAnsi="宋体" w:cs="宋体" w:hint="eastAsia"/>
                <w:color w:val="000000" w:themeColor="text1"/>
                <w:position w:val="-1"/>
                <w:sz w:val="24"/>
                <w:szCs w:val="24"/>
              </w:rPr>
              <w:t>202</w:t>
            </w:r>
            <w:r>
              <w:rPr>
                <w:rFonts w:ascii="宋体" w:hAnsi="宋体" w:cs="宋体" w:hint="eastAsia"/>
                <w:color w:val="000000" w:themeColor="text1"/>
                <w:position w:val="-1"/>
                <w:sz w:val="24"/>
                <w:szCs w:val="24"/>
              </w:rPr>
              <w:t>1</w:t>
            </w:r>
            <w:r>
              <w:rPr>
                <w:rFonts w:ascii="宋体" w:hAnsi="宋体" w:cs="宋体" w:hint="eastAsia"/>
                <w:color w:val="000000" w:themeColor="text1"/>
                <w:position w:val="-1"/>
                <w:sz w:val="24"/>
                <w:szCs w:val="24"/>
              </w:rPr>
              <w:t>年</w:t>
            </w:r>
            <w:r>
              <w:rPr>
                <w:rFonts w:ascii="宋体" w:hAnsi="宋体" w:cs="宋体" w:hint="eastAsia"/>
                <w:color w:val="000000" w:themeColor="text1"/>
                <w:position w:val="-1"/>
                <w:sz w:val="24"/>
                <w:szCs w:val="24"/>
              </w:rPr>
              <w:t>12</w:t>
            </w:r>
            <w:r>
              <w:rPr>
                <w:rFonts w:ascii="宋体" w:hAnsi="宋体" w:cs="宋体" w:hint="eastAsia"/>
                <w:color w:val="000000" w:themeColor="text1"/>
                <w:position w:val="-1"/>
                <w:sz w:val="24"/>
                <w:szCs w:val="24"/>
              </w:rPr>
              <w:t>月</w:t>
            </w:r>
            <w:r>
              <w:rPr>
                <w:rFonts w:ascii="宋体" w:hAnsi="宋体" w:cs="宋体" w:hint="eastAsia"/>
                <w:position w:val="-1"/>
                <w:sz w:val="24"/>
                <w:szCs w:val="24"/>
              </w:rPr>
              <w:t>由外部由资质的单位进行了检查，结果为合格。</w:t>
            </w:r>
            <w:r>
              <w:rPr>
                <w:rFonts w:ascii="宋体" w:hAnsi="宋体" w:cs="宋体" w:hint="eastAsia"/>
                <w:position w:val="-1"/>
                <w:sz w:val="24"/>
                <w:szCs w:val="24"/>
              </w:rPr>
              <w:t>自体系运行以来尚未发生紧急情况。自体系运行以来未发生应急情况。</w:t>
            </w:r>
            <w:r>
              <w:rPr>
                <w:rFonts w:hint="eastAsia"/>
              </w:rPr>
              <w:t xml:space="preserve">   </w:t>
            </w:r>
          </w:p>
          <w:p w:rsidR="00874D58" w:rsidRDefault="00E345ED">
            <w:pPr>
              <w:spacing w:line="360" w:lineRule="auto"/>
              <w:ind w:firstLineChars="200" w:firstLine="420"/>
              <w:jc w:val="center"/>
            </w:pPr>
            <w:r>
              <w:rPr>
                <w:noProof/>
              </w:rPr>
              <w:lastRenderedPageBreak/>
              <w:drawing>
                <wp:inline distT="0" distB="0" distL="114300" distR="114300">
                  <wp:extent cx="2352675" cy="2070100"/>
                  <wp:effectExtent l="0" t="0" r="9525"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cstate="print"/>
                          <a:stretch>
                            <a:fillRect/>
                          </a:stretch>
                        </pic:blipFill>
                        <pic:spPr>
                          <a:xfrm>
                            <a:off x="0" y="0"/>
                            <a:ext cx="2352675" cy="2070100"/>
                          </a:xfrm>
                          <a:prstGeom prst="rect">
                            <a:avLst/>
                          </a:prstGeom>
                          <a:noFill/>
                          <a:ln>
                            <a:noFill/>
                          </a:ln>
                        </pic:spPr>
                      </pic:pic>
                    </a:graphicData>
                  </a:graphic>
                </wp:inline>
              </w:drawing>
            </w:r>
          </w:p>
        </w:tc>
        <w:tc>
          <w:tcPr>
            <w:tcW w:w="1585" w:type="dxa"/>
          </w:tcPr>
          <w:p w:rsidR="00874D58" w:rsidRDefault="00E345ED">
            <w:r>
              <w:rPr>
                <w:rFonts w:hint="eastAsia"/>
              </w:rPr>
              <w:lastRenderedPageBreak/>
              <w:t>Y</w:t>
            </w:r>
          </w:p>
        </w:tc>
      </w:tr>
      <w:tr w:rsidR="00874D58">
        <w:trPr>
          <w:trHeight w:val="1255"/>
        </w:trPr>
        <w:tc>
          <w:tcPr>
            <w:tcW w:w="2160" w:type="dxa"/>
          </w:tcPr>
          <w:p w:rsidR="00874D58" w:rsidRDefault="00E345ED">
            <w:pPr>
              <w:spacing w:line="288" w:lineRule="auto"/>
              <w:rPr>
                <w:rFonts w:ascii="宋体" w:hAnsi="宋体" w:cs="Arial"/>
                <w:szCs w:val="21"/>
              </w:rPr>
            </w:pPr>
            <w:r>
              <w:rPr>
                <w:rFonts w:ascii="宋体" w:hAnsi="宋体" w:hint="eastAsia"/>
                <w:bCs/>
                <w:szCs w:val="21"/>
              </w:rPr>
              <w:lastRenderedPageBreak/>
              <w:t>监视和测量</w:t>
            </w:r>
          </w:p>
        </w:tc>
        <w:tc>
          <w:tcPr>
            <w:tcW w:w="960" w:type="dxa"/>
          </w:tcPr>
          <w:p w:rsidR="00874D58" w:rsidRDefault="00E345ED">
            <w:pPr>
              <w:pStyle w:val="a0"/>
              <w:rPr>
                <w:rFonts w:ascii="宋体" w:hAnsi="宋体" w:cs="Arial"/>
                <w:sz w:val="24"/>
                <w:szCs w:val="24"/>
              </w:rPr>
            </w:pPr>
            <w:r>
              <w:rPr>
                <w:rFonts w:ascii="宋体" w:hAnsi="宋体" w:cs="Arial" w:hint="eastAsia"/>
                <w:sz w:val="24"/>
                <w:szCs w:val="24"/>
              </w:rPr>
              <w:t>ES9.1.1</w:t>
            </w:r>
          </w:p>
        </w:tc>
        <w:tc>
          <w:tcPr>
            <w:tcW w:w="10004" w:type="dxa"/>
          </w:tcPr>
          <w:p w:rsidR="00874D58" w:rsidRDefault="00E345ED">
            <w:pPr>
              <w:spacing w:line="360" w:lineRule="auto"/>
              <w:ind w:firstLineChars="200" w:firstLine="480"/>
              <w:rPr>
                <w:rFonts w:ascii="宋体" w:hAnsi="宋体" w:cs="宋体"/>
                <w:position w:val="-1"/>
                <w:sz w:val="24"/>
                <w:szCs w:val="24"/>
              </w:rPr>
            </w:pPr>
            <w:r>
              <w:rPr>
                <w:rFonts w:ascii="宋体" w:hAnsi="宋体" w:cs="宋体" w:hint="eastAsia"/>
                <w:position w:val="-1"/>
                <w:sz w:val="24"/>
                <w:szCs w:val="24"/>
              </w:rPr>
              <w:t>公司制定有《环境职业健康安全监视和测量程序》《合规性评价控制程序》，负责实施测量与监测计划内各自责任范围的项目，并负责日常安全和环境情况的测量与监测及绩效测量与监测所需设备的日常管理。</w:t>
            </w:r>
          </w:p>
          <w:p w:rsidR="00874D58" w:rsidRDefault="00E345ED">
            <w:pPr>
              <w:spacing w:line="360" w:lineRule="auto"/>
              <w:ind w:firstLineChars="200" w:firstLine="480"/>
              <w:rPr>
                <w:rFonts w:ascii="宋体" w:hAnsi="宋体" w:cs="宋体"/>
                <w:position w:val="-1"/>
                <w:sz w:val="24"/>
                <w:szCs w:val="24"/>
              </w:rPr>
            </w:pPr>
            <w:r>
              <w:rPr>
                <w:rFonts w:ascii="宋体" w:hAnsi="宋体" w:cs="宋体" w:hint="eastAsia"/>
                <w:position w:val="-1"/>
                <w:sz w:val="24"/>
                <w:szCs w:val="24"/>
              </w:rPr>
              <w:t>每月不少于一次对本单位的重要环境因素控制情况和</w:t>
            </w:r>
            <w:r>
              <w:rPr>
                <w:rFonts w:ascii="宋体" w:hAnsi="宋体" w:cs="宋体" w:hint="eastAsia"/>
                <w:position w:val="-1"/>
                <w:sz w:val="24"/>
                <w:szCs w:val="24"/>
              </w:rPr>
              <w:t>职业健康安全运行控制情况</w:t>
            </w:r>
            <w:r>
              <w:rPr>
                <w:rFonts w:ascii="宋体" w:hAnsi="宋体" w:cs="宋体" w:hint="eastAsia"/>
                <w:position w:val="-1"/>
                <w:sz w:val="24"/>
                <w:szCs w:val="24"/>
              </w:rPr>
              <w:t>进行检查巡视，并进行相应的考核，</w:t>
            </w:r>
            <w:r>
              <w:rPr>
                <w:rFonts w:ascii="宋体" w:hAnsi="宋体" w:cs="宋体" w:hint="eastAsia"/>
                <w:position w:val="-1"/>
                <w:sz w:val="24"/>
                <w:szCs w:val="24"/>
              </w:rPr>
              <w:t>对各部门的运行控制情况随时进行监督检查，并每季全面检查一次</w:t>
            </w:r>
            <w:r>
              <w:rPr>
                <w:rFonts w:ascii="宋体" w:hAnsi="宋体" w:cs="宋体" w:hint="eastAsia"/>
                <w:position w:val="-1"/>
                <w:sz w:val="24"/>
                <w:szCs w:val="24"/>
              </w:rPr>
              <w:t>。</w:t>
            </w:r>
          </w:p>
        </w:tc>
        <w:tc>
          <w:tcPr>
            <w:tcW w:w="1585" w:type="dxa"/>
          </w:tcPr>
          <w:p w:rsidR="00874D58" w:rsidRDefault="00E345ED">
            <w:r>
              <w:rPr>
                <w:rFonts w:hint="eastAsia"/>
              </w:rPr>
              <w:t>Y</w:t>
            </w:r>
          </w:p>
        </w:tc>
      </w:tr>
      <w:tr w:rsidR="00874D58">
        <w:trPr>
          <w:trHeight w:val="1255"/>
        </w:trPr>
        <w:tc>
          <w:tcPr>
            <w:tcW w:w="2160" w:type="dxa"/>
          </w:tcPr>
          <w:p w:rsidR="00874D58" w:rsidRDefault="00E345ED">
            <w:pPr>
              <w:spacing w:line="288" w:lineRule="auto"/>
              <w:rPr>
                <w:rFonts w:ascii="宋体" w:hAnsi="宋体" w:cs="Arial"/>
                <w:szCs w:val="21"/>
              </w:rPr>
            </w:pPr>
            <w:r>
              <w:rPr>
                <w:rFonts w:ascii="宋体" w:hAnsi="宋体" w:hint="eastAsia"/>
                <w:bCs/>
                <w:szCs w:val="21"/>
              </w:rPr>
              <w:t>不符合纠正措施</w:t>
            </w:r>
          </w:p>
        </w:tc>
        <w:tc>
          <w:tcPr>
            <w:tcW w:w="960" w:type="dxa"/>
          </w:tcPr>
          <w:p w:rsidR="00874D58" w:rsidRDefault="00E345ED">
            <w:pPr>
              <w:pStyle w:val="a0"/>
              <w:rPr>
                <w:rFonts w:ascii="宋体" w:hAnsi="宋体" w:cs="Arial"/>
                <w:sz w:val="24"/>
                <w:szCs w:val="24"/>
              </w:rPr>
            </w:pPr>
            <w:r>
              <w:rPr>
                <w:rFonts w:ascii="宋体" w:hAnsi="宋体" w:cs="Arial" w:hint="eastAsia"/>
                <w:sz w:val="24"/>
                <w:szCs w:val="24"/>
              </w:rPr>
              <w:t>ES</w:t>
            </w:r>
            <w:r>
              <w:rPr>
                <w:rFonts w:ascii="宋体" w:hAnsi="宋体" w:hint="eastAsia"/>
                <w:szCs w:val="21"/>
              </w:rPr>
              <w:t>10.2</w:t>
            </w:r>
          </w:p>
        </w:tc>
        <w:tc>
          <w:tcPr>
            <w:tcW w:w="10004" w:type="dxa"/>
          </w:tcPr>
          <w:p w:rsidR="00874D58" w:rsidRDefault="00E345ED">
            <w:pPr>
              <w:spacing w:line="360" w:lineRule="auto"/>
              <w:ind w:firstLineChars="200" w:firstLine="480"/>
              <w:rPr>
                <w:rFonts w:ascii="宋体" w:hAnsi="宋体" w:cs="宋体"/>
                <w:position w:val="-1"/>
                <w:sz w:val="24"/>
                <w:szCs w:val="24"/>
              </w:rPr>
            </w:pPr>
            <w:r>
              <w:rPr>
                <w:rFonts w:ascii="宋体" w:hAnsi="宋体" w:cs="宋体" w:hint="eastAsia"/>
                <w:position w:val="-1"/>
                <w:sz w:val="24"/>
                <w:szCs w:val="24"/>
              </w:rPr>
              <w:t>公司执行《事件调查、报告与处理程序》，《不符合、纠正和预防措施管理程序》</w:t>
            </w:r>
          </w:p>
          <w:p w:rsidR="00874D58" w:rsidRDefault="00E345ED">
            <w:pPr>
              <w:spacing w:line="360" w:lineRule="auto"/>
              <w:ind w:firstLineChars="200" w:firstLine="480"/>
              <w:rPr>
                <w:rFonts w:cs="Arial"/>
                <w:kern w:val="0"/>
                <w:sz w:val="28"/>
                <w:szCs w:val="36"/>
              </w:rPr>
            </w:pPr>
            <w:r>
              <w:rPr>
                <w:rFonts w:ascii="宋体" w:hAnsi="宋体" w:cs="宋体" w:hint="eastAsia"/>
                <w:position w:val="-1"/>
                <w:sz w:val="24"/>
                <w:szCs w:val="24"/>
              </w:rPr>
              <w:t>对有关公司安全事件的调查、报告与处理过程做出规定，达到减少事件损失和事故预防的目的。实现职业健康安全与环境管理体系的持续改进。对环境健康安全事故进行分类，规定有事故报告、事故调查、事故处理具体要求。并制定有《事故应急预案管理规范》《工伤管理规范》《消防安全管理规范》等。</w:t>
            </w:r>
          </w:p>
          <w:p w:rsidR="00874D58" w:rsidRDefault="00E345ED">
            <w:pPr>
              <w:spacing w:line="360" w:lineRule="auto"/>
              <w:ind w:firstLineChars="200" w:firstLine="480"/>
              <w:rPr>
                <w:rFonts w:ascii="宋体" w:hAnsi="宋体" w:cs="宋体"/>
                <w:position w:val="-1"/>
                <w:sz w:val="24"/>
                <w:szCs w:val="24"/>
              </w:rPr>
            </w:pPr>
            <w:r>
              <w:rPr>
                <w:rFonts w:ascii="宋体" w:hAnsi="宋体" w:cs="宋体" w:hint="eastAsia"/>
                <w:position w:val="-1"/>
                <w:sz w:val="24"/>
                <w:szCs w:val="24"/>
              </w:rPr>
              <w:lastRenderedPageBreak/>
              <w:t>规定日常工作检查，管理评审，内审，其他考评，合规性评价以及相关方交流等发现的不符合及环境安全的事件采取纠正，防止事态发展，进行原因分析，采取必要的纠正预防措施，防止事件的发生、再发生。</w:t>
            </w:r>
          </w:p>
          <w:p w:rsidR="00874D58" w:rsidRDefault="00E345ED">
            <w:pPr>
              <w:spacing w:line="360" w:lineRule="auto"/>
              <w:ind w:firstLineChars="200" w:firstLine="480"/>
              <w:rPr>
                <w:rFonts w:ascii="宋体" w:hAnsi="宋体" w:cs="宋体"/>
                <w:position w:val="-1"/>
                <w:sz w:val="24"/>
                <w:szCs w:val="24"/>
              </w:rPr>
            </w:pPr>
            <w:r>
              <w:rPr>
                <w:rFonts w:ascii="宋体" w:hAnsi="宋体" w:cs="宋体" w:hint="eastAsia"/>
                <w:position w:val="-1"/>
                <w:sz w:val="24"/>
                <w:szCs w:val="24"/>
              </w:rPr>
              <w:t>对管理评审、内审提出的不符合及改进要求，进行原因分析，制定了具体措施。</w:t>
            </w:r>
          </w:p>
        </w:tc>
        <w:tc>
          <w:tcPr>
            <w:tcW w:w="1585" w:type="dxa"/>
          </w:tcPr>
          <w:p w:rsidR="00874D58" w:rsidRDefault="00E345ED">
            <w:r>
              <w:rPr>
                <w:rFonts w:hint="eastAsia"/>
              </w:rPr>
              <w:lastRenderedPageBreak/>
              <w:t>Y</w:t>
            </w:r>
          </w:p>
        </w:tc>
      </w:tr>
    </w:tbl>
    <w:p w:rsidR="00874D58" w:rsidRDefault="00E345ED">
      <w:r>
        <w:lastRenderedPageBreak/>
        <w:ptab w:relativeTo="margin" w:alignment="center" w:leader="none"/>
      </w:r>
    </w:p>
    <w:p w:rsidR="00874D58" w:rsidRDefault="00874D58"/>
    <w:p w:rsidR="00874D58" w:rsidRDefault="00E345ED">
      <w:pPr>
        <w:pStyle w:val="a6"/>
      </w:pPr>
      <w:r>
        <w:rPr>
          <w:rFonts w:hint="eastAsia"/>
        </w:rPr>
        <w:t>说明：不符合标注</w:t>
      </w:r>
      <w:r>
        <w:rPr>
          <w:rFonts w:hint="eastAsia"/>
        </w:rPr>
        <w:t>N</w:t>
      </w:r>
    </w:p>
    <w:sectPr w:rsidR="00874D58" w:rsidSect="00874D58">
      <w:headerReference w:type="default" r:id="rId19"/>
      <w:footerReference w:type="default" r:id="rId20"/>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5ED" w:rsidRDefault="00E345ED" w:rsidP="00874D58">
      <w:r>
        <w:separator/>
      </w:r>
    </w:p>
  </w:endnote>
  <w:endnote w:type="continuationSeparator" w:id="0">
    <w:p w:rsidR="00E345ED" w:rsidRDefault="00E345ED" w:rsidP="00874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874D58" w:rsidRDefault="00874D58">
            <w:pPr>
              <w:pStyle w:val="a6"/>
              <w:jc w:val="center"/>
            </w:pPr>
            <w:r>
              <w:rPr>
                <w:b/>
                <w:sz w:val="24"/>
                <w:szCs w:val="24"/>
              </w:rPr>
              <w:fldChar w:fldCharType="begin"/>
            </w:r>
            <w:r w:rsidR="00E345ED">
              <w:rPr>
                <w:b/>
              </w:rPr>
              <w:instrText>PAGE</w:instrText>
            </w:r>
            <w:r>
              <w:rPr>
                <w:b/>
                <w:sz w:val="24"/>
                <w:szCs w:val="24"/>
              </w:rPr>
              <w:fldChar w:fldCharType="separate"/>
            </w:r>
            <w:r w:rsidR="005B4AA2">
              <w:rPr>
                <w:b/>
                <w:noProof/>
              </w:rPr>
              <w:t>1</w:t>
            </w:r>
            <w:r>
              <w:rPr>
                <w:b/>
                <w:sz w:val="24"/>
                <w:szCs w:val="24"/>
              </w:rPr>
              <w:fldChar w:fldCharType="end"/>
            </w:r>
            <w:r w:rsidR="00E345ED">
              <w:rPr>
                <w:lang w:val="zh-CN"/>
              </w:rPr>
              <w:t xml:space="preserve"> / </w:t>
            </w:r>
            <w:r>
              <w:rPr>
                <w:b/>
                <w:sz w:val="24"/>
                <w:szCs w:val="24"/>
              </w:rPr>
              <w:fldChar w:fldCharType="begin"/>
            </w:r>
            <w:r w:rsidR="00E345ED">
              <w:rPr>
                <w:b/>
              </w:rPr>
              <w:instrText>NUMPAGES</w:instrText>
            </w:r>
            <w:r>
              <w:rPr>
                <w:b/>
                <w:sz w:val="24"/>
                <w:szCs w:val="24"/>
              </w:rPr>
              <w:fldChar w:fldCharType="separate"/>
            </w:r>
            <w:r w:rsidR="005B4AA2">
              <w:rPr>
                <w:b/>
                <w:noProof/>
              </w:rPr>
              <w:t>8</w:t>
            </w:r>
            <w:r>
              <w:rPr>
                <w:b/>
                <w:sz w:val="24"/>
                <w:szCs w:val="24"/>
              </w:rPr>
              <w:fldChar w:fldCharType="end"/>
            </w:r>
          </w:p>
        </w:sdtContent>
      </w:sdt>
    </w:sdtContent>
  </w:sdt>
  <w:p w:rsidR="00874D58" w:rsidRDefault="00874D5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5ED" w:rsidRDefault="00E345ED" w:rsidP="00874D58">
      <w:r>
        <w:separator/>
      </w:r>
    </w:p>
  </w:footnote>
  <w:footnote w:type="continuationSeparator" w:id="0">
    <w:p w:rsidR="00E345ED" w:rsidRDefault="00E345ED" w:rsidP="00874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58" w:rsidRDefault="00E345ED">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874D58" w:rsidRPr="00874D58">
      <w:pict>
        <v:shapetype id="_x0000_t202" coordsize="21600,21600" o:spt="202" path="m,l,21600r21600,l21600,xe">
          <v:stroke joinstyle="miter"/>
          <v:path gradientshapeok="t" o:connecttype="rect"/>
        </v:shapetype>
        <v:shape id="_x0000_s4097" type="#_x0000_t202" style="position:absolute;left:0;text-align:left;margin-left:620.4pt;margin-top:12.55pt;width:102.7pt;height:20.2pt;z-index:251659264;mso-position-horizontal-relative:text;mso-position-vertical-relative:text" stroked="f">
          <v:textbox>
            <w:txbxContent>
              <w:p w:rsidR="00874D58" w:rsidRDefault="00E345ED">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874D58" w:rsidRDefault="00E345ED" w:rsidP="00077EF4">
    <w:pPr>
      <w:pStyle w:val="a7"/>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DB6FF5"/>
    <w:multiLevelType w:val="multilevel"/>
    <w:tmpl w:val="6BDB6FF5"/>
    <w:lvl w:ilvl="0">
      <w:start w:val="1"/>
      <w:numFmt w:val="lowerLetter"/>
      <w:lvlText w:val="%1)"/>
      <w:lvlJc w:val="left"/>
      <w:pPr>
        <w:tabs>
          <w:tab w:val="left" w:pos="930"/>
        </w:tabs>
        <w:ind w:left="924" w:hanging="420"/>
      </w:pPr>
      <w:rPr>
        <w:rFonts w:hint="eastAsia"/>
        <w:b w:val="0"/>
      </w:rPr>
    </w:lvl>
    <w:lvl w:ilvl="1">
      <w:start w:val="1"/>
      <w:numFmt w:val="japaneseCounting"/>
      <w:lvlText w:val="%2."/>
      <w:lvlJc w:val="left"/>
      <w:pPr>
        <w:tabs>
          <w:tab w:val="left" w:pos="915"/>
        </w:tabs>
        <w:ind w:left="909" w:hanging="495"/>
      </w:pPr>
      <w:rPr>
        <w:rFonts w:hint="default"/>
      </w:rPr>
    </w:lvl>
    <w:lvl w:ilvl="2">
      <w:start w:val="1"/>
      <w:numFmt w:val="lowerRoman"/>
      <w:lvlText w:val="%3."/>
      <w:lvlJc w:val="right"/>
      <w:pPr>
        <w:tabs>
          <w:tab w:val="left" w:pos="1260"/>
        </w:tabs>
        <w:ind w:left="1254" w:hanging="420"/>
      </w:pPr>
    </w:lvl>
    <w:lvl w:ilvl="3">
      <w:start w:val="1"/>
      <w:numFmt w:val="decimal"/>
      <w:lvlText w:val="%4."/>
      <w:lvlJc w:val="left"/>
      <w:pPr>
        <w:tabs>
          <w:tab w:val="left" w:pos="1680"/>
        </w:tabs>
        <w:ind w:left="1674" w:hanging="420"/>
      </w:pPr>
    </w:lvl>
    <w:lvl w:ilvl="4">
      <w:start w:val="1"/>
      <w:numFmt w:val="lowerLetter"/>
      <w:lvlText w:val="%5)"/>
      <w:lvlJc w:val="left"/>
      <w:pPr>
        <w:tabs>
          <w:tab w:val="left" w:pos="2100"/>
        </w:tabs>
        <w:ind w:left="2094" w:hanging="420"/>
      </w:pPr>
    </w:lvl>
    <w:lvl w:ilvl="5">
      <w:start w:val="1"/>
      <w:numFmt w:val="lowerRoman"/>
      <w:lvlText w:val="%6."/>
      <w:lvlJc w:val="right"/>
      <w:pPr>
        <w:tabs>
          <w:tab w:val="left" w:pos="2520"/>
        </w:tabs>
        <w:ind w:left="2514" w:hanging="420"/>
      </w:pPr>
    </w:lvl>
    <w:lvl w:ilvl="6">
      <w:start w:val="1"/>
      <w:numFmt w:val="decimal"/>
      <w:lvlText w:val="%7."/>
      <w:lvlJc w:val="left"/>
      <w:pPr>
        <w:tabs>
          <w:tab w:val="left" w:pos="2940"/>
        </w:tabs>
        <w:ind w:left="2934" w:hanging="420"/>
      </w:pPr>
    </w:lvl>
    <w:lvl w:ilvl="7">
      <w:start w:val="1"/>
      <w:numFmt w:val="lowerLetter"/>
      <w:lvlText w:val="%8)"/>
      <w:lvlJc w:val="left"/>
      <w:pPr>
        <w:tabs>
          <w:tab w:val="left" w:pos="3360"/>
        </w:tabs>
        <w:ind w:left="3354" w:hanging="420"/>
      </w:pPr>
    </w:lvl>
    <w:lvl w:ilvl="8">
      <w:start w:val="1"/>
      <w:numFmt w:val="lowerRoman"/>
      <w:lvlText w:val="%9."/>
      <w:lvlJc w:val="right"/>
      <w:pPr>
        <w:tabs>
          <w:tab w:val="left" w:pos="3780"/>
        </w:tabs>
        <w:ind w:left="3774"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4D58"/>
    <w:rsid w:val="00077EF4"/>
    <w:rsid w:val="005B4AA2"/>
    <w:rsid w:val="00874D58"/>
    <w:rsid w:val="00E345ED"/>
    <w:rsid w:val="00EC36EE"/>
    <w:rsid w:val="02743363"/>
    <w:rsid w:val="057B19E8"/>
    <w:rsid w:val="060F1006"/>
    <w:rsid w:val="065C5F18"/>
    <w:rsid w:val="16AE381D"/>
    <w:rsid w:val="18684985"/>
    <w:rsid w:val="199C5F69"/>
    <w:rsid w:val="258A3CDA"/>
    <w:rsid w:val="26664461"/>
    <w:rsid w:val="312311EE"/>
    <w:rsid w:val="39692E20"/>
    <w:rsid w:val="437A1C25"/>
    <w:rsid w:val="43B12659"/>
    <w:rsid w:val="4C6C0E3D"/>
    <w:rsid w:val="4DAA36ED"/>
    <w:rsid w:val="54B56476"/>
    <w:rsid w:val="597A2D98"/>
    <w:rsid w:val="59BC1713"/>
    <w:rsid w:val="61053664"/>
    <w:rsid w:val="628F65E9"/>
    <w:rsid w:val="6F4B6DEC"/>
    <w:rsid w:val="774E0233"/>
    <w:rsid w:val="7AB927C3"/>
    <w:rsid w:val="7F4802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74D58"/>
    <w:pPr>
      <w:widowControl w:val="0"/>
      <w:jc w:val="both"/>
    </w:pPr>
    <w:rPr>
      <w:kern w:val="2"/>
      <w:sz w:val="21"/>
    </w:rPr>
  </w:style>
  <w:style w:type="paragraph" w:styleId="3">
    <w:name w:val="heading 3"/>
    <w:basedOn w:val="a"/>
    <w:next w:val="a"/>
    <w:unhideWhenUsed/>
    <w:qFormat/>
    <w:rsid w:val="00874D58"/>
    <w:pPr>
      <w:keepNext/>
      <w:keepLines/>
      <w:spacing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874D58"/>
    <w:pPr>
      <w:spacing w:before="25" w:after="25"/>
    </w:pPr>
    <w:rPr>
      <w:bCs/>
      <w:spacing w:val="10"/>
    </w:rPr>
  </w:style>
  <w:style w:type="paragraph" w:styleId="a4">
    <w:name w:val="Body Text"/>
    <w:basedOn w:val="a"/>
    <w:rsid w:val="00874D58"/>
    <w:pPr>
      <w:spacing w:after="120"/>
    </w:pPr>
  </w:style>
  <w:style w:type="paragraph" w:styleId="a5">
    <w:name w:val="Balloon Text"/>
    <w:basedOn w:val="a"/>
    <w:link w:val="Char"/>
    <w:uiPriority w:val="99"/>
    <w:semiHidden/>
    <w:unhideWhenUsed/>
    <w:qFormat/>
    <w:rsid w:val="00874D58"/>
    <w:rPr>
      <w:sz w:val="18"/>
      <w:szCs w:val="18"/>
    </w:rPr>
  </w:style>
  <w:style w:type="paragraph" w:styleId="a6">
    <w:name w:val="footer"/>
    <w:basedOn w:val="a"/>
    <w:link w:val="Char0"/>
    <w:uiPriority w:val="99"/>
    <w:unhideWhenUsed/>
    <w:qFormat/>
    <w:rsid w:val="00874D58"/>
    <w:pPr>
      <w:tabs>
        <w:tab w:val="center" w:pos="4153"/>
        <w:tab w:val="right" w:pos="8306"/>
      </w:tabs>
      <w:snapToGrid w:val="0"/>
      <w:jc w:val="left"/>
    </w:pPr>
    <w:rPr>
      <w:sz w:val="18"/>
      <w:szCs w:val="18"/>
    </w:rPr>
  </w:style>
  <w:style w:type="paragraph" w:styleId="a7">
    <w:name w:val="header"/>
    <w:basedOn w:val="a"/>
    <w:link w:val="Char1"/>
    <w:unhideWhenUsed/>
    <w:qFormat/>
    <w:rsid w:val="00874D5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uiPriority w:val="99"/>
    <w:qFormat/>
    <w:rsid w:val="00874D58"/>
    <w:rPr>
      <w:rFonts w:ascii="Times New Roman" w:eastAsia="宋体" w:hAnsi="Times New Roman" w:cs="Times New Roman"/>
      <w:sz w:val="18"/>
      <w:szCs w:val="18"/>
    </w:rPr>
  </w:style>
  <w:style w:type="character" w:customStyle="1" w:styleId="Char0">
    <w:name w:val="页脚 Char"/>
    <w:basedOn w:val="a1"/>
    <w:link w:val="a6"/>
    <w:uiPriority w:val="99"/>
    <w:qFormat/>
    <w:rsid w:val="00874D58"/>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sid w:val="00874D58"/>
    <w:rPr>
      <w:rFonts w:ascii="Times New Roman" w:eastAsia="宋体" w:hAnsi="Times New Roman" w:cs="Times New Roman"/>
      <w:sz w:val="18"/>
      <w:szCs w:val="18"/>
    </w:rPr>
  </w:style>
  <w:style w:type="character" w:customStyle="1" w:styleId="CharChar1">
    <w:name w:val="Char Char1"/>
    <w:qFormat/>
    <w:locked/>
    <w:rsid w:val="00874D58"/>
    <w:rPr>
      <w:rFonts w:ascii="宋体" w:eastAsia="宋体" w:hAnsi="Courier New" w:hint="eastAsia"/>
      <w:kern w:val="2"/>
      <w:sz w:val="21"/>
      <w:lang w:val="en-US" w:eastAsia="zh-CN" w:bidi="ar-SA"/>
    </w:rPr>
  </w:style>
  <w:style w:type="paragraph" w:styleId="a8">
    <w:name w:val="No Spacing"/>
    <w:uiPriority w:val="99"/>
    <w:qFormat/>
    <w:rsid w:val="00874D58"/>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423</Words>
  <Characters>2414</Characters>
  <Application>Microsoft Office Word</Application>
  <DocSecurity>0</DocSecurity>
  <Lines>20</Lines>
  <Paragraphs>5</Paragraphs>
  <ScaleCrop>false</ScaleCrop>
  <Company>Microsoft</Company>
  <LinksUpToDate>false</LinksUpToDate>
  <CharactersWithSpaces>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Users</cp:lastModifiedBy>
  <cp:revision>24</cp:revision>
  <dcterms:created xsi:type="dcterms:W3CDTF">2015-06-17T12:51:00Z</dcterms:created>
  <dcterms:modified xsi:type="dcterms:W3CDTF">2022-04-27T06:36:00Z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y fmtid="{D5CDD505-2E9C-101B-9397-08002B2CF9AE}" pid="4" name="commondata">
    <vt:lpwstr>eyJoZGlkIjoiZmRhNmNiZmUxYjVmNTkxYjI0YTFkZjc1MjE1NDdlNzgifQ==</vt:lpwstr>
  </property>
</Properties>
</file>