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60" w:lineRule="auto"/>
              <w:jc w:val="center"/>
              <w:rPr>
                <w:rFonts w:ascii="楷体" w:hAnsi="楷体" w:eastAsia="楷体" w:cs="宋体"/>
                <w:sz w:val="24"/>
                <w:szCs w:val="24"/>
              </w:rPr>
            </w:pPr>
            <w:r>
              <w:rPr>
                <w:rFonts w:hint="eastAsia" w:ascii="楷体" w:hAnsi="楷体" w:eastAsia="楷体" w:cs="宋体"/>
                <w:sz w:val="24"/>
                <w:szCs w:val="24"/>
              </w:rPr>
              <w:t>过程与活动、</w:t>
            </w:r>
          </w:p>
          <w:p>
            <w:pPr>
              <w:spacing w:line="360" w:lineRule="auto"/>
              <w:jc w:val="center"/>
              <w:rPr>
                <w:rFonts w:ascii="楷体" w:hAnsi="楷体" w:eastAsia="楷体" w:cs="宋体"/>
                <w:sz w:val="24"/>
                <w:szCs w:val="24"/>
              </w:rPr>
            </w:pPr>
            <w:r>
              <w:rPr>
                <w:rFonts w:hint="eastAsia" w:ascii="楷体" w:hAnsi="楷体" w:eastAsia="楷体" w:cs="宋体"/>
                <w:sz w:val="24"/>
                <w:szCs w:val="24"/>
              </w:rPr>
              <w:t>抽样计划</w:t>
            </w:r>
          </w:p>
        </w:tc>
        <w:tc>
          <w:tcPr>
            <w:tcW w:w="1019"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涉及</w:t>
            </w:r>
          </w:p>
          <w:p>
            <w:pPr>
              <w:spacing w:line="360" w:lineRule="auto"/>
              <w:rPr>
                <w:rFonts w:ascii="楷体" w:hAnsi="楷体" w:eastAsia="楷体" w:cs="宋体"/>
                <w:sz w:val="24"/>
                <w:szCs w:val="24"/>
              </w:rPr>
            </w:pPr>
            <w:r>
              <w:rPr>
                <w:rFonts w:hint="eastAsia" w:ascii="楷体" w:hAnsi="楷体" w:eastAsia="楷体" w:cs="宋体"/>
                <w:sz w:val="24"/>
                <w:szCs w:val="24"/>
              </w:rPr>
              <w:t>条款</w:t>
            </w:r>
          </w:p>
        </w:tc>
        <w:tc>
          <w:tcPr>
            <w:tcW w:w="11223"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受审核部门：</w:t>
            </w:r>
            <w:r>
              <w:rPr>
                <w:rFonts w:hint="eastAsia" w:ascii="楷体" w:hAnsi="楷体" w:eastAsia="楷体" w:cs="宋体"/>
                <w:b/>
                <w:bCs/>
                <w:sz w:val="24"/>
                <w:szCs w:val="24"/>
              </w:rPr>
              <w:t xml:space="preserve">管理层 </w:t>
            </w:r>
            <w:r>
              <w:rPr>
                <w:rFonts w:hint="eastAsia" w:ascii="楷体" w:hAnsi="楷体" w:eastAsia="楷体" w:cs="宋体"/>
                <w:sz w:val="24"/>
                <w:szCs w:val="24"/>
              </w:rPr>
              <w:t xml:space="preserve">        主管领导/陪同人员：黄明龙、黄敏</w:t>
            </w:r>
          </w:p>
        </w:tc>
        <w:tc>
          <w:tcPr>
            <w:tcW w:w="760"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60" w:lineRule="auto"/>
              <w:rPr>
                <w:rFonts w:ascii="楷体" w:hAnsi="楷体" w:eastAsia="楷体" w:cs="宋体"/>
                <w:sz w:val="24"/>
                <w:szCs w:val="24"/>
              </w:rPr>
            </w:pPr>
          </w:p>
        </w:tc>
        <w:tc>
          <w:tcPr>
            <w:tcW w:w="1019" w:type="dxa"/>
            <w:vMerge w:val="continue"/>
            <w:vAlign w:val="center"/>
          </w:tcPr>
          <w:p>
            <w:pPr>
              <w:spacing w:line="360" w:lineRule="auto"/>
              <w:rPr>
                <w:rFonts w:ascii="楷体" w:hAnsi="楷体" w:eastAsia="楷体" w:cs="宋体"/>
                <w:sz w:val="24"/>
                <w:szCs w:val="24"/>
              </w:rPr>
            </w:pPr>
          </w:p>
        </w:tc>
        <w:tc>
          <w:tcPr>
            <w:tcW w:w="11223" w:type="dxa"/>
            <w:vAlign w:val="center"/>
          </w:tcPr>
          <w:p>
            <w:pPr>
              <w:spacing w:line="360" w:lineRule="auto"/>
              <w:rPr>
                <w:rFonts w:hint="default" w:ascii="楷体" w:hAnsi="楷体" w:eastAsia="楷体" w:cs="宋体"/>
                <w:sz w:val="24"/>
                <w:szCs w:val="24"/>
                <w:lang w:val="en-US" w:eastAsia="zh-CN"/>
              </w:rPr>
            </w:pPr>
            <w:r>
              <w:rPr>
                <w:rFonts w:hint="eastAsia" w:ascii="楷体" w:hAnsi="楷体" w:eastAsia="楷体" w:cs="宋体"/>
                <w:sz w:val="24"/>
                <w:szCs w:val="24"/>
              </w:rPr>
              <w:t>审核员：</w:t>
            </w:r>
            <w:bookmarkStart w:id="0" w:name="_GoBack"/>
            <w:r>
              <w:rPr>
                <w:rFonts w:hint="eastAsia" w:ascii="楷体" w:hAnsi="楷体" w:eastAsia="楷体" w:cs="宋体"/>
                <w:sz w:val="24"/>
                <w:szCs w:val="24"/>
                <w:lang w:val="en-US" w:eastAsia="zh-CN"/>
              </w:rPr>
              <w:t>伍光华（见证）、李双（被见证）、高燕华(专家)</w:t>
            </w:r>
            <w:r>
              <w:rPr>
                <w:rFonts w:hint="eastAsia" w:ascii="楷体" w:hAnsi="楷体" w:eastAsia="楷体" w:cs="宋体"/>
                <w:sz w:val="24"/>
                <w:szCs w:val="24"/>
              </w:rPr>
              <w:t xml:space="preserve"> </w:t>
            </w:r>
            <w:bookmarkEnd w:id="0"/>
            <w:r>
              <w:rPr>
                <w:rFonts w:hint="eastAsia" w:ascii="楷体" w:hAnsi="楷体" w:eastAsia="楷体" w:cs="宋体"/>
                <w:sz w:val="24"/>
                <w:szCs w:val="24"/>
              </w:rPr>
              <w:t xml:space="preserve">       审核时间：</w:t>
            </w:r>
            <w:r>
              <w:rPr>
                <w:rFonts w:hint="eastAsia" w:ascii="楷体" w:hAnsi="楷体" w:eastAsia="楷体" w:cs="宋体"/>
                <w:sz w:val="24"/>
                <w:szCs w:val="24"/>
                <w:lang w:val="en-US" w:eastAsia="zh-CN"/>
              </w:rPr>
              <w:t>2022.4.29</w:t>
            </w:r>
          </w:p>
        </w:tc>
        <w:tc>
          <w:tcPr>
            <w:tcW w:w="760"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707" w:type="dxa"/>
            <w:vMerge w:val="continue"/>
            <w:vAlign w:val="center"/>
          </w:tcPr>
          <w:p>
            <w:pPr>
              <w:spacing w:line="360" w:lineRule="auto"/>
              <w:rPr>
                <w:rFonts w:ascii="楷体" w:hAnsi="楷体" w:eastAsia="楷体" w:cs="宋体"/>
                <w:sz w:val="24"/>
                <w:szCs w:val="24"/>
              </w:rPr>
            </w:pPr>
          </w:p>
        </w:tc>
        <w:tc>
          <w:tcPr>
            <w:tcW w:w="1019" w:type="dxa"/>
            <w:vMerge w:val="continue"/>
            <w:vAlign w:val="center"/>
          </w:tcPr>
          <w:p>
            <w:pPr>
              <w:spacing w:line="360" w:lineRule="auto"/>
              <w:rPr>
                <w:rFonts w:ascii="楷体" w:hAnsi="楷体" w:eastAsia="楷体" w:cs="宋体"/>
                <w:sz w:val="24"/>
                <w:szCs w:val="24"/>
              </w:rPr>
            </w:pPr>
          </w:p>
        </w:tc>
        <w:tc>
          <w:tcPr>
            <w:tcW w:w="11223" w:type="dxa"/>
            <w:vAlign w:val="center"/>
          </w:tcPr>
          <w:p>
            <w:pPr>
              <w:adjustRightInd w:val="0"/>
              <w:snapToGrid w:val="0"/>
              <w:spacing w:line="360" w:lineRule="auto"/>
              <w:ind w:right="105" w:rightChars="50"/>
              <w:textAlignment w:val="baseline"/>
              <w:rPr>
                <w:rFonts w:ascii="楷体" w:hAnsi="楷体" w:eastAsia="楷体" w:cs="宋体"/>
                <w:sz w:val="24"/>
                <w:szCs w:val="24"/>
              </w:rPr>
            </w:pPr>
            <w:r>
              <w:rPr>
                <w:rFonts w:hint="eastAsia" w:ascii="楷体" w:hAnsi="楷体" w:eastAsia="楷体" w:cs="宋体"/>
                <w:sz w:val="24"/>
                <w:szCs w:val="24"/>
              </w:rPr>
              <w:t>涉及标准条款：</w:t>
            </w:r>
          </w:p>
          <w:p>
            <w:pPr>
              <w:adjustRightInd w:val="0"/>
              <w:snapToGrid w:val="0"/>
              <w:spacing w:line="360" w:lineRule="auto"/>
              <w:ind w:right="105" w:rightChars="50"/>
              <w:textAlignment w:val="baseline"/>
              <w:rPr>
                <w:rFonts w:ascii="楷体" w:hAnsi="楷体" w:eastAsia="楷体" w:cs="Arial"/>
                <w:spacing w:val="-6"/>
                <w:sz w:val="24"/>
                <w:szCs w:val="24"/>
              </w:rPr>
            </w:pPr>
            <w:r>
              <w:rPr>
                <w:rFonts w:hint="eastAsia" w:ascii="楷体" w:hAnsi="楷体" w:eastAsia="楷体" w:cs="Arial"/>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9.3管理评审、10.1改进、10.3持续改进，</w:t>
            </w:r>
          </w:p>
          <w:p>
            <w:pPr>
              <w:spacing w:line="360" w:lineRule="auto"/>
              <w:ind w:firstLine="456" w:firstLineChars="200"/>
              <w:rPr>
                <w:rFonts w:ascii="楷体" w:hAnsi="楷体" w:eastAsia="楷体" w:cs="宋体"/>
                <w:sz w:val="24"/>
                <w:szCs w:val="24"/>
              </w:rPr>
            </w:pPr>
            <w:r>
              <w:rPr>
                <w:rFonts w:hint="eastAsia" w:ascii="楷体" w:hAnsi="楷体" w:eastAsia="楷体" w:cs="Arial"/>
                <w:spacing w:val="-6"/>
                <w:sz w:val="24"/>
                <w:szCs w:val="24"/>
              </w:rPr>
              <w:t>标准/规范/法规的执行情况、上次审核不符合项的验证、认证证书、标志的使用情况、投诉或事故、监督抽查情况、体系变动</w:t>
            </w:r>
          </w:p>
        </w:tc>
        <w:tc>
          <w:tcPr>
            <w:tcW w:w="760"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07" w:type="dxa"/>
            <w:vAlign w:val="center"/>
          </w:tcPr>
          <w:p>
            <w:pPr>
              <w:spacing w:line="360" w:lineRule="auto"/>
              <w:rPr>
                <w:rFonts w:ascii="楷体" w:hAnsi="楷体" w:eastAsia="楷体"/>
                <w:b/>
                <w:sz w:val="24"/>
                <w:szCs w:val="24"/>
              </w:rPr>
            </w:pPr>
            <w:r>
              <w:rPr>
                <w:rFonts w:hint="eastAsia" w:ascii="楷体" w:hAnsi="楷体" w:eastAsia="楷体"/>
                <w:sz w:val="24"/>
                <w:szCs w:val="24"/>
              </w:rPr>
              <w:t>领导作用和承诺、组织的岗位职责和权限</w:t>
            </w:r>
          </w:p>
        </w:tc>
        <w:tc>
          <w:tcPr>
            <w:tcW w:w="1019" w:type="dxa"/>
            <w:vAlign w:val="center"/>
          </w:tcPr>
          <w:p>
            <w:pPr>
              <w:spacing w:line="360" w:lineRule="auto"/>
              <w:rPr>
                <w:rFonts w:ascii="楷体" w:hAnsi="楷体" w:eastAsia="楷体"/>
                <w:color w:val="000000"/>
                <w:sz w:val="24"/>
                <w:szCs w:val="24"/>
              </w:rPr>
            </w:pPr>
            <w:r>
              <w:rPr>
                <w:rFonts w:hint="eastAsia" w:ascii="楷体" w:hAnsi="楷体" w:eastAsia="楷体"/>
                <w:color w:val="000000"/>
                <w:sz w:val="24"/>
                <w:szCs w:val="24"/>
              </w:rPr>
              <w:t xml:space="preserve">Q：5.1，5.3  </w:t>
            </w:r>
          </w:p>
        </w:tc>
        <w:tc>
          <w:tcPr>
            <w:tcW w:w="11223"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总经理主持建立了质量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公司部门设置有：办公室、采购部、销售部、生产部；公司现共有员工约</w:t>
            </w:r>
            <w:r>
              <w:rPr>
                <w:rFonts w:hint="eastAsia" w:ascii="楷体" w:hAnsi="楷体" w:eastAsia="楷体"/>
                <w:color w:val="000000"/>
                <w:sz w:val="24"/>
                <w:szCs w:val="24"/>
                <w:lang w:val="en-US" w:eastAsia="zh-CN"/>
              </w:rPr>
              <w:t>41</w:t>
            </w:r>
            <w:r>
              <w:rPr>
                <w:rFonts w:hint="eastAsia" w:ascii="楷体" w:hAnsi="楷体" w:eastAsia="楷体"/>
                <w:color w:val="000000"/>
                <w:sz w:val="24"/>
                <w:szCs w:val="24"/>
              </w:rPr>
              <w:t>名；</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编制了岗位职责汇编，以文件上发的形式沟通各部门的职责及各部门之间工作的联系。</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组织机构图列出公司的各个部门，《岗位说明书》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管理者代表的职责在手册中作出规定。</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spacing w:line="360" w:lineRule="auto"/>
              <w:rPr>
                <w:rFonts w:ascii="楷体" w:hAnsi="楷体" w:eastAsia="楷体"/>
                <w:sz w:val="24"/>
                <w:szCs w:val="24"/>
              </w:rPr>
            </w:pPr>
            <w:r>
              <w:rPr>
                <w:rFonts w:hint="eastAsia" w:ascii="楷体" w:hAnsi="楷体" w:eastAsia="楷体"/>
                <w:sz w:val="24"/>
                <w:szCs w:val="24"/>
              </w:rPr>
              <w:t>理解组织及其环境</w:t>
            </w:r>
          </w:p>
        </w:tc>
        <w:tc>
          <w:tcPr>
            <w:tcW w:w="1019" w:type="dxa"/>
            <w:vAlign w:val="center"/>
          </w:tcPr>
          <w:p>
            <w:pPr>
              <w:spacing w:line="360" w:lineRule="auto"/>
              <w:rPr>
                <w:rFonts w:ascii="楷体" w:hAnsi="楷体" w:eastAsia="楷体"/>
                <w:sz w:val="24"/>
                <w:szCs w:val="24"/>
              </w:rPr>
            </w:pPr>
            <w:r>
              <w:rPr>
                <w:rFonts w:hint="eastAsia" w:ascii="楷体" w:hAnsi="楷体" w:eastAsia="楷体"/>
                <w:sz w:val="24"/>
                <w:szCs w:val="24"/>
              </w:rPr>
              <w:t>4.1</w:t>
            </w:r>
          </w:p>
        </w:tc>
        <w:tc>
          <w:tcPr>
            <w:tcW w:w="11223"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赣州市南康区明龙家具有限公司位于江西省赣州市南康区唐江家具集聚区15栋23单元，</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经交流得知公司</w:t>
            </w:r>
            <w:r>
              <w:rPr>
                <w:rFonts w:ascii="楷体" w:hAnsi="楷体" w:eastAsia="楷体"/>
                <w:color w:val="000000"/>
                <w:sz w:val="24"/>
                <w:szCs w:val="24"/>
              </w:rPr>
              <w:t>通过定期的网站获取、顾客沟通、及定期内部总结等方式</w:t>
            </w:r>
            <w:r>
              <w:rPr>
                <w:rFonts w:hint="eastAsia" w:ascii="楷体" w:hAnsi="楷体" w:eastAsia="楷体"/>
                <w:color w:val="000000"/>
                <w:sz w:val="24"/>
                <w:szCs w:val="24"/>
              </w:rPr>
              <w:t>对内外部因素</w:t>
            </w:r>
            <w:r>
              <w:rPr>
                <w:rFonts w:ascii="楷体" w:hAnsi="楷体" w:eastAsia="楷体"/>
                <w:color w:val="000000"/>
                <w:sz w:val="24"/>
                <w:szCs w:val="24"/>
              </w:rPr>
              <w:t>进行监视和评审</w:t>
            </w:r>
            <w:r>
              <w:rPr>
                <w:rFonts w:hint="eastAsia" w:ascii="楷体" w:hAnsi="楷体" w:eastAsia="楷体"/>
                <w:color w:val="000000"/>
                <w:sz w:val="24"/>
                <w:szCs w:val="24"/>
              </w:rPr>
              <w:t>：</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外部因素：</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家具等行业持续新建发展带来的机遇，安全环保的法规和政府对生产加工业的环保性、安全性和质量提出了越来越高的要求，行业有着非常大的提升空间，并取得迅速的发展。</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国内文化、社会因素影响因素很小。</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与同类企业相比，具有</w:t>
            </w:r>
            <w:r>
              <w:rPr>
                <w:rFonts w:hint="eastAsia" w:ascii="楷体" w:hAnsi="楷体" w:eastAsia="楷体"/>
                <w:color w:val="000000"/>
                <w:sz w:val="24"/>
                <w:szCs w:val="24"/>
              </w:rPr>
              <w:t>设备先进、</w:t>
            </w:r>
            <w:r>
              <w:rPr>
                <w:rFonts w:ascii="楷体" w:hAnsi="楷体" w:eastAsia="楷体"/>
                <w:color w:val="000000"/>
                <w:sz w:val="24"/>
                <w:szCs w:val="24"/>
              </w:rPr>
              <w:t>人员少、生产效率高</w:t>
            </w:r>
            <w:r>
              <w:rPr>
                <w:rFonts w:hint="eastAsia" w:ascii="楷体" w:hAnsi="楷体" w:eastAsia="楷体"/>
                <w:color w:val="000000"/>
                <w:sz w:val="24"/>
                <w:szCs w:val="24"/>
              </w:rPr>
              <w:t>、</w:t>
            </w:r>
            <w:r>
              <w:rPr>
                <w:rFonts w:ascii="楷体" w:hAnsi="楷体" w:eastAsia="楷体"/>
                <w:color w:val="000000"/>
                <w:sz w:val="24"/>
                <w:szCs w:val="24"/>
              </w:rPr>
              <w:t>生产周期短、技术力量</w:t>
            </w:r>
            <w:r>
              <w:rPr>
                <w:rFonts w:hint="eastAsia" w:ascii="楷体" w:hAnsi="楷体" w:eastAsia="楷体"/>
                <w:color w:val="000000"/>
                <w:sz w:val="24"/>
                <w:szCs w:val="24"/>
              </w:rPr>
              <w:t>强等</w:t>
            </w:r>
            <w:r>
              <w:rPr>
                <w:rFonts w:ascii="楷体" w:hAnsi="楷体" w:eastAsia="楷体"/>
                <w:color w:val="000000"/>
                <w:sz w:val="24"/>
                <w:szCs w:val="24"/>
              </w:rPr>
              <w:t>优势。</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内部因素：</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公司的人员均为有多年生产实践经验和质检及相关岗位管理工作经验</w:t>
            </w:r>
            <w:r>
              <w:rPr>
                <w:rFonts w:hint="eastAsia" w:ascii="楷体" w:hAnsi="楷体" w:eastAsia="楷体"/>
                <w:color w:val="000000"/>
                <w:sz w:val="24"/>
                <w:szCs w:val="24"/>
              </w:rPr>
              <w:t>；</w:t>
            </w:r>
            <w:r>
              <w:rPr>
                <w:rFonts w:ascii="楷体" w:hAnsi="楷体" w:eastAsia="楷体"/>
                <w:color w:val="000000"/>
                <w:sz w:val="24"/>
                <w:szCs w:val="24"/>
              </w:rPr>
              <w:t>生产技术人员全部经过技能/合规性培训，业务熟练，质量意识</w:t>
            </w:r>
            <w:r>
              <w:rPr>
                <w:rFonts w:hint="eastAsia" w:ascii="楷体" w:hAnsi="楷体" w:eastAsia="楷体"/>
                <w:color w:val="000000"/>
                <w:sz w:val="24"/>
                <w:szCs w:val="24"/>
              </w:rPr>
              <w:t>、</w:t>
            </w:r>
            <w:r>
              <w:rPr>
                <w:rFonts w:ascii="楷体" w:hAnsi="楷体" w:eastAsia="楷体"/>
                <w:color w:val="000000"/>
                <w:sz w:val="24"/>
                <w:szCs w:val="24"/>
              </w:rPr>
              <w:t>环境保护意识</w:t>
            </w:r>
            <w:r>
              <w:rPr>
                <w:rFonts w:hint="eastAsia" w:ascii="楷体" w:hAnsi="楷体" w:eastAsia="楷体"/>
                <w:color w:val="000000"/>
                <w:sz w:val="24"/>
                <w:szCs w:val="24"/>
              </w:rPr>
              <w:t>、职业健康安全意识</w:t>
            </w:r>
            <w:r>
              <w:rPr>
                <w:rFonts w:ascii="楷体" w:hAnsi="楷体" w:eastAsia="楷体"/>
                <w:color w:val="000000"/>
                <w:sz w:val="24"/>
                <w:szCs w:val="24"/>
              </w:rPr>
              <w:t>较强。</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采用先进成熟的生产工艺，产品环境、职业健康安全有保证，规模较大，产能有一定的优势。</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公司财务能保障公司质量管理体系运行所需</w:t>
            </w:r>
            <w:r>
              <w:rPr>
                <w:rFonts w:hint="eastAsia" w:ascii="楷体" w:hAnsi="楷体" w:eastAsia="楷体"/>
                <w:color w:val="000000"/>
                <w:sz w:val="24"/>
                <w:szCs w:val="24"/>
              </w:rPr>
              <w:t>，</w:t>
            </w:r>
            <w:r>
              <w:rPr>
                <w:rFonts w:ascii="楷体" w:hAnsi="楷体" w:eastAsia="楷体"/>
                <w:color w:val="000000"/>
                <w:sz w:val="24"/>
                <w:szCs w:val="24"/>
              </w:rPr>
              <w:t>公司的生产基础设施、配备齐全、过程运行环境控制良好</w:t>
            </w:r>
            <w:r>
              <w:rPr>
                <w:rFonts w:hint="eastAsia" w:ascii="楷体" w:hAnsi="楷体" w:eastAsia="楷体"/>
                <w:color w:val="000000"/>
                <w:sz w:val="24"/>
                <w:szCs w:val="24"/>
              </w:rPr>
              <w:t>。</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经查，符合要求。</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707" w:type="dxa"/>
            <w:vAlign w:val="center"/>
          </w:tcPr>
          <w:p>
            <w:pPr>
              <w:spacing w:line="360" w:lineRule="auto"/>
              <w:rPr>
                <w:rFonts w:ascii="楷体" w:hAnsi="楷体" w:eastAsia="楷体"/>
                <w:sz w:val="24"/>
                <w:szCs w:val="24"/>
              </w:rPr>
            </w:pPr>
            <w:r>
              <w:rPr>
                <w:rFonts w:hint="eastAsia" w:ascii="楷体" w:hAnsi="楷体" w:eastAsia="楷体"/>
                <w:sz w:val="24"/>
                <w:szCs w:val="24"/>
              </w:rPr>
              <w:t>理解相关方的需求和期望</w:t>
            </w:r>
          </w:p>
        </w:tc>
        <w:tc>
          <w:tcPr>
            <w:tcW w:w="1019" w:type="dxa"/>
            <w:vAlign w:val="center"/>
          </w:tcPr>
          <w:p>
            <w:pPr>
              <w:spacing w:line="360" w:lineRule="auto"/>
              <w:rPr>
                <w:rFonts w:ascii="楷体" w:hAnsi="楷体" w:eastAsia="楷体"/>
                <w:sz w:val="24"/>
                <w:szCs w:val="24"/>
              </w:rPr>
            </w:pPr>
            <w:r>
              <w:rPr>
                <w:rFonts w:hint="eastAsia" w:ascii="楷体" w:hAnsi="楷体" w:eastAsia="楷体"/>
                <w:sz w:val="24"/>
                <w:szCs w:val="24"/>
              </w:rPr>
              <w:t>4.2</w:t>
            </w:r>
          </w:p>
        </w:tc>
        <w:tc>
          <w:tcPr>
            <w:tcW w:w="11223" w:type="dxa"/>
            <w:vAlign w:val="center"/>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公司确定了与质量管理体系有关的相关方包括顾客、采购环保合格原材料和合作供方、工商行政部门、计量和安全部门、总公司、科技局、财政局、物流服务企业、当地环保部门、第三方检测机构等。</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相关方对企业的要求有：遵守国家的现行法律法规、保持有效的资质、生产的产品节能环保，对环境无重大污染、无安全隐患、不断提高技术水平以及不断提高客户满意度等。</w:t>
            </w:r>
          </w:p>
          <w:p>
            <w:pPr>
              <w:spacing w:line="360" w:lineRule="auto"/>
              <w:ind w:firstLine="480" w:firstLineChars="200"/>
              <w:rPr>
                <w:rFonts w:ascii="楷体" w:hAnsi="楷体" w:eastAsia="楷体"/>
                <w:sz w:val="24"/>
                <w:szCs w:val="24"/>
              </w:rPr>
            </w:pPr>
            <w:r>
              <w:rPr>
                <w:rFonts w:hint="eastAsia" w:ascii="楷体" w:hAnsi="楷体" w:eastAsia="楷体"/>
                <w:color w:val="000000"/>
                <w:sz w:val="24"/>
                <w:szCs w:val="24"/>
              </w:rPr>
              <w:t>对这些相关方监事和评审的方法有：上级文件、标准和规范的获取、设备器具检定、沟通等。</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707" w:type="dxa"/>
          </w:tcPr>
          <w:p>
            <w:pPr>
              <w:spacing w:line="360" w:lineRule="auto"/>
              <w:rPr>
                <w:rFonts w:ascii="楷体" w:hAnsi="楷体" w:eastAsia="楷体"/>
                <w:sz w:val="24"/>
                <w:szCs w:val="24"/>
              </w:rPr>
            </w:pPr>
            <w:r>
              <w:rPr>
                <w:rFonts w:hint="eastAsia" w:ascii="楷体" w:hAnsi="楷体" w:eastAsia="楷体"/>
                <w:sz w:val="24"/>
                <w:szCs w:val="24"/>
              </w:rPr>
              <w:t>应对风险和机遇的措施</w:t>
            </w:r>
          </w:p>
          <w:p>
            <w:pPr>
              <w:spacing w:line="360" w:lineRule="auto"/>
              <w:rPr>
                <w:rFonts w:ascii="楷体" w:hAnsi="楷体" w:eastAsia="楷体"/>
                <w:sz w:val="24"/>
                <w:szCs w:val="24"/>
              </w:rPr>
            </w:pPr>
            <w:r>
              <w:rPr>
                <w:rFonts w:hint="eastAsia" w:ascii="楷体" w:hAnsi="楷体" w:eastAsia="楷体"/>
                <w:sz w:val="24"/>
                <w:szCs w:val="24"/>
              </w:rPr>
              <w:t>确定管理体系的范围</w:t>
            </w:r>
          </w:p>
          <w:p>
            <w:pPr>
              <w:spacing w:line="360" w:lineRule="auto"/>
              <w:rPr>
                <w:rFonts w:ascii="楷体" w:hAnsi="楷体" w:eastAsia="楷体"/>
                <w:sz w:val="24"/>
                <w:szCs w:val="24"/>
              </w:rPr>
            </w:pPr>
            <w:r>
              <w:rPr>
                <w:rFonts w:hint="eastAsia" w:ascii="楷体" w:hAnsi="楷体" w:eastAsia="楷体"/>
                <w:sz w:val="24"/>
                <w:szCs w:val="24"/>
              </w:rPr>
              <w:t>管理体系及其过程</w:t>
            </w:r>
          </w:p>
          <w:p>
            <w:pPr>
              <w:spacing w:line="360" w:lineRule="auto"/>
              <w:rPr>
                <w:rFonts w:ascii="楷体" w:hAnsi="楷体" w:eastAsia="楷体"/>
                <w:sz w:val="24"/>
                <w:szCs w:val="24"/>
              </w:rPr>
            </w:pPr>
            <w:r>
              <w:rPr>
                <w:rFonts w:hint="eastAsia" w:ascii="楷体" w:hAnsi="楷体" w:eastAsia="楷体"/>
                <w:sz w:val="24"/>
                <w:szCs w:val="24"/>
              </w:rPr>
              <w:t>变更的策划</w:t>
            </w:r>
          </w:p>
        </w:tc>
        <w:tc>
          <w:tcPr>
            <w:tcW w:w="1019" w:type="dxa"/>
          </w:tcPr>
          <w:p>
            <w:pPr>
              <w:spacing w:line="360" w:lineRule="auto"/>
              <w:jc w:val="center"/>
              <w:rPr>
                <w:rFonts w:ascii="楷体" w:hAnsi="楷体" w:eastAsia="楷体"/>
                <w:sz w:val="24"/>
                <w:szCs w:val="24"/>
              </w:rPr>
            </w:pPr>
            <w:r>
              <w:rPr>
                <w:rFonts w:hint="eastAsia" w:ascii="楷体" w:hAnsi="楷体" w:eastAsia="楷体"/>
                <w:sz w:val="24"/>
                <w:szCs w:val="24"/>
              </w:rPr>
              <w:t>6.1</w:t>
            </w:r>
          </w:p>
          <w:p>
            <w:pPr>
              <w:spacing w:line="360" w:lineRule="auto"/>
              <w:jc w:val="center"/>
              <w:rPr>
                <w:rFonts w:ascii="楷体" w:hAnsi="楷体" w:eastAsia="楷体"/>
                <w:sz w:val="24"/>
                <w:szCs w:val="24"/>
              </w:rPr>
            </w:pPr>
            <w:r>
              <w:rPr>
                <w:rFonts w:hint="eastAsia" w:ascii="楷体" w:hAnsi="楷体" w:eastAsia="楷体"/>
                <w:sz w:val="24"/>
                <w:szCs w:val="24"/>
              </w:rPr>
              <w:t>4.3</w:t>
            </w:r>
          </w:p>
          <w:p>
            <w:pPr>
              <w:spacing w:line="360" w:lineRule="auto"/>
              <w:jc w:val="center"/>
              <w:rPr>
                <w:rFonts w:ascii="楷体" w:hAnsi="楷体" w:eastAsia="楷体"/>
                <w:sz w:val="24"/>
                <w:szCs w:val="24"/>
              </w:rPr>
            </w:pPr>
            <w:r>
              <w:rPr>
                <w:rFonts w:hint="eastAsia" w:ascii="楷体" w:hAnsi="楷体" w:eastAsia="楷体"/>
                <w:sz w:val="24"/>
                <w:szCs w:val="24"/>
              </w:rPr>
              <w:t>4.4</w:t>
            </w:r>
          </w:p>
          <w:p>
            <w:pPr>
              <w:spacing w:line="360" w:lineRule="auto"/>
              <w:jc w:val="center"/>
              <w:rPr>
                <w:rFonts w:ascii="楷体" w:hAnsi="楷体" w:eastAsia="楷体"/>
                <w:sz w:val="24"/>
                <w:szCs w:val="24"/>
              </w:rPr>
            </w:pPr>
            <w:r>
              <w:rPr>
                <w:rFonts w:hint="eastAsia" w:ascii="楷体" w:hAnsi="楷体" w:eastAsia="楷体"/>
                <w:sz w:val="24"/>
                <w:szCs w:val="24"/>
              </w:rPr>
              <w:t>6.3</w:t>
            </w:r>
          </w:p>
          <w:p>
            <w:pPr>
              <w:spacing w:line="360" w:lineRule="auto"/>
              <w:jc w:val="center"/>
              <w:rPr>
                <w:rFonts w:ascii="楷体" w:hAnsi="楷体" w:eastAsia="楷体"/>
                <w:sz w:val="24"/>
                <w:szCs w:val="24"/>
              </w:rPr>
            </w:pPr>
          </w:p>
        </w:tc>
        <w:tc>
          <w:tcPr>
            <w:tcW w:w="11223" w:type="dxa"/>
          </w:tcPr>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基于对4.1和4.2的考虑，分析了公司存在的风险和机遇：</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机遇：</w:t>
            </w:r>
            <w:r>
              <w:rPr>
                <w:rFonts w:ascii="楷体" w:hAnsi="楷体" w:eastAsia="楷体"/>
                <w:color w:val="000000"/>
                <w:sz w:val="24"/>
                <w:szCs w:val="24"/>
              </w:rPr>
              <w:t>行业市场的规模化，市场需求量很大</w:t>
            </w:r>
            <w:r>
              <w:rPr>
                <w:rFonts w:hint="eastAsia" w:ascii="楷体" w:hAnsi="楷体" w:eastAsia="楷体"/>
                <w:color w:val="000000"/>
                <w:sz w:val="24"/>
                <w:szCs w:val="24"/>
              </w:rPr>
              <w:t>，</w:t>
            </w:r>
            <w:r>
              <w:rPr>
                <w:rFonts w:ascii="楷体" w:hAnsi="楷体" w:eastAsia="楷体"/>
                <w:color w:val="000000"/>
                <w:sz w:val="24"/>
                <w:szCs w:val="24"/>
              </w:rPr>
              <w:t>销售市场巨大，目前市场经济对企业有较好的推动作用。</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风险：</w:t>
            </w:r>
            <w:r>
              <w:rPr>
                <w:rFonts w:ascii="楷体" w:hAnsi="楷体" w:eastAsia="楷体"/>
                <w:color w:val="000000"/>
                <w:sz w:val="24"/>
                <w:szCs w:val="24"/>
              </w:rPr>
              <w:t>目前国内市场的同类产品有较多的品牌，竞争逐渐加剧。</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编制有《风险和机遇的应对控制程序》，对组织内外的风险和机遇进行了策划。</w:t>
            </w:r>
            <w:r>
              <w:rPr>
                <w:rFonts w:hint="eastAsia" w:ascii="楷体" w:hAnsi="楷体" w:eastAsia="楷体"/>
                <w:color w:val="000000"/>
                <w:sz w:val="24"/>
                <w:szCs w:val="24"/>
              </w:rPr>
              <w:t>介绍说，公司</w:t>
            </w:r>
            <w:r>
              <w:rPr>
                <w:rFonts w:ascii="楷体" w:hAnsi="楷体" w:eastAsia="楷体"/>
                <w:color w:val="000000"/>
                <w:sz w:val="24"/>
                <w:szCs w:val="24"/>
              </w:rPr>
              <w:t>识别了风险和机遇来源、风险和机遇内容、管理措施、责任部门、实时时间、评价措施等</w:t>
            </w:r>
            <w:r>
              <w:rPr>
                <w:rFonts w:hint="eastAsia" w:ascii="楷体" w:hAnsi="楷体" w:eastAsia="楷体"/>
                <w:color w:val="000000"/>
                <w:sz w:val="24"/>
                <w:szCs w:val="24"/>
              </w:rPr>
              <w:t>；</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为应对相应的风险和机遇，公司依据GB/T19001-2016标准的要求并结合本公司的具体情况，采取PDCA的过程方法，建立、实施、保持并持续改进质量、环境、职业健康安全管理体系。编制《管理手册》</w:t>
            </w:r>
            <w:r>
              <w:rPr>
                <w:rFonts w:hint="eastAsia" w:ascii="楷体" w:hAnsi="楷体" w:eastAsia="楷体"/>
                <w:color w:val="000000"/>
                <w:sz w:val="24"/>
                <w:szCs w:val="24"/>
                <w:lang w:val="en-US" w:eastAsia="zh-CN"/>
              </w:rPr>
              <w:t>C</w:t>
            </w:r>
            <w:r>
              <w:rPr>
                <w:rFonts w:hint="eastAsia" w:ascii="楷体" w:hAnsi="楷体" w:eastAsia="楷体"/>
                <w:color w:val="000000"/>
                <w:sz w:val="24"/>
                <w:szCs w:val="24"/>
              </w:rPr>
              <w:t>/0版，管理体系于202</w:t>
            </w:r>
            <w:r>
              <w:rPr>
                <w:rFonts w:hint="eastAsia" w:ascii="楷体" w:hAnsi="楷体" w:eastAsia="楷体"/>
                <w:color w:val="000000"/>
                <w:sz w:val="24"/>
                <w:szCs w:val="24"/>
                <w:lang w:val="en-US" w:eastAsia="zh-CN"/>
              </w:rPr>
              <w:t>1</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12</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建立并正式实施。另编制程序文件14个，版本号：</w:t>
            </w:r>
            <w:r>
              <w:rPr>
                <w:rFonts w:hint="eastAsia" w:ascii="楷体" w:hAnsi="楷体" w:eastAsia="楷体"/>
                <w:color w:val="000000"/>
                <w:sz w:val="24"/>
                <w:szCs w:val="24"/>
                <w:lang w:val="en-US" w:eastAsia="zh-CN"/>
              </w:rPr>
              <w:t>C</w:t>
            </w:r>
            <w:r>
              <w:rPr>
                <w:rFonts w:hint="eastAsia" w:ascii="楷体" w:hAnsi="楷体" w:eastAsia="楷体"/>
                <w:color w:val="000000"/>
                <w:sz w:val="24"/>
                <w:szCs w:val="24"/>
              </w:rPr>
              <w:t>/0，202</w:t>
            </w:r>
            <w:r>
              <w:rPr>
                <w:rFonts w:hint="eastAsia" w:ascii="楷体" w:hAnsi="楷体" w:eastAsia="楷体"/>
                <w:color w:val="000000"/>
                <w:sz w:val="24"/>
                <w:szCs w:val="24"/>
                <w:lang w:val="en-US" w:eastAsia="zh-CN"/>
              </w:rPr>
              <w:t>1</w:t>
            </w:r>
            <w:r>
              <w:rPr>
                <w:rFonts w:hint="eastAsia" w:ascii="楷体" w:hAnsi="楷体" w:eastAsia="楷体"/>
                <w:color w:val="000000"/>
                <w:sz w:val="24"/>
                <w:szCs w:val="24"/>
              </w:rPr>
              <w:t>年</w:t>
            </w:r>
            <w:r>
              <w:rPr>
                <w:rFonts w:hint="eastAsia" w:ascii="楷体" w:hAnsi="楷体" w:eastAsia="楷体"/>
                <w:color w:val="000000"/>
                <w:sz w:val="24"/>
                <w:szCs w:val="24"/>
                <w:lang w:val="en-US" w:eastAsia="zh-CN"/>
              </w:rPr>
              <w:t>12</w:t>
            </w:r>
            <w:r>
              <w:rPr>
                <w:rFonts w:hint="eastAsia" w:ascii="楷体" w:hAnsi="楷体" w:eastAsia="楷体"/>
                <w:color w:val="000000"/>
                <w:sz w:val="24"/>
                <w:szCs w:val="24"/>
              </w:rPr>
              <w:t>月</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日实施；另设有作业指导书15个；外来文件清单，收集法律法规和技术标准、规范等9个；</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本公司识别并确定了如下分工及过程：采购过程、生产过程、销售过程、检验与交付过程、绩效分析、评价与改进等多个过程。</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 xml:space="preserve">生产工艺流程如下： </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开料→订压→锣机→排钻→封边→批灰→打磨→贴纸（木皮）→底漆→油磨→面漆→组装→成品验收</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相关工艺未进行变更，体系运行自去年监督审核后，基本无变更，相关注册地址、生产经营地址描述进行了变更，实际在同一处进行生产经营，未变更。</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注册地址、生产地址、经营地址：江西省赣州市南康区唐江家具集聚区15栋23单元</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管理手册中</w:t>
            </w:r>
            <w:r>
              <w:rPr>
                <w:rFonts w:ascii="楷体" w:hAnsi="楷体" w:eastAsia="楷体"/>
                <w:color w:val="000000"/>
                <w:sz w:val="24"/>
                <w:szCs w:val="24"/>
              </w:rPr>
              <w:t>确</w:t>
            </w:r>
            <w:r>
              <w:rPr>
                <w:rFonts w:hint="eastAsia" w:ascii="楷体" w:hAnsi="楷体" w:eastAsia="楷体"/>
                <w:color w:val="000000"/>
                <w:sz w:val="24"/>
                <w:szCs w:val="24"/>
              </w:rPr>
              <w:t>定</w:t>
            </w:r>
            <w:r>
              <w:rPr>
                <w:rFonts w:ascii="楷体" w:hAnsi="楷体" w:eastAsia="楷体"/>
                <w:color w:val="000000"/>
                <w:sz w:val="24"/>
                <w:szCs w:val="24"/>
              </w:rPr>
              <w:t>的认证范围：</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QMS：</w:t>
            </w:r>
            <w:r>
              <w:rPr>
                <w:rFonts w:hint="eastAsia" w:ascii="楷体" w:hAnsi="楷体" w:eastAsia="楷体"/>
                <w:color w:val="000000"/>
                <w:sz w:val="24"/>
                <w:szCs w:val="24"/>
              </w:rPr>
              <w:t>家具的生产</w:t>
            </w:r>
          </w:p>
          <w:p>
            <w:pPr>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t>不适用条款：无</w:t>
            </w:r>
            <w:r>
              <w:rPr>
                <w:rFonts w:hint="eastAsia" w:ascii="楷体" w:hAnsi="楷体" w:eastAsia="楷体"/>
                <w:color w:val="000000"/>
                <w:sz w:val="24"/>
                <w:szCs w:val="24"/>
              </w:rPr>
              <w:t>。</w:t>
            </w:r>
          </w:p>
          <w:p>
            <w:pPr>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经</w:t>
            </w:r>
            <w:r>
              <w:rPr>
                <w:rFonts w:ascii="楷体" w:hAnsi="楷体" w:eastAsia="楷体"/>
                <w:color w:val="000000"/>
                <w:sz w:val="24"/>
                <w:szCs w:val="24"/>
              </w:rPr>
              <w:t>识别</w:t>
            </w:r>
            <w:r>
              <w:rPr>
                <w:rFonts w:hint="eastAsia" w:ascii="楷体" w:hAnsi="楷体" w:eastAsia="楷体"/>
                <w:color w:val="000000"/>
                <w:sz w:val="24"/>
                <w:szCs w:val="24"/>
              </w:rPr>
              <w:t>，公司</w:t>
            </w:r>
            <w:r>
              <w:rPr>
                <w:rFonts w:ascii="楷体" w:hAnsi="楷体" w:eastAsia="楷体"/>
                <w:color w:val="000000"/>
                <w:sz w:val="24"/>
                <w:szCs w:val="24"/>
              </w:rPr>
              <w:t>无外包过程</w:t>
            </w:r>
            <w:r>
              <w:rPr>
                <w:rFonts w:hint="eastAsia" w:ascii="楷体" w:hAnsi="楷体" w:eastAsia="楷体"/>
                <w:color w:val="000000"/>
                <w:sz w:val="24"/>
                <w:szCs w:val="24"/>
              </w:rPr>
              <w:t>。</w:t>
            </w:r>
          </w:p>
          <w:p>
            <w:pPr>
              <w:spacing w:line="360" w:lineRule="auto"/>
              <w:ind w:firstLine="480" w:firstLineChars="200"/>
              <w:rPr>
                <w:rFonts w:ascii="楷体" w:hAnsi="楷体" w:eastAsia="楷体"/>
                <w:color w:val="000000"/>
                <w:sz w:val="24"/>
                <w:szCs w:val="24"/>
              </w:rPr>
            </w:pPr>
            <w:r>
              <w:rPr>
                <w:rFonts w:hint="eastAsia" w:ascii="楷体" w:hAnsi="楷体" w:eastAsia="楷体"/>
                <w:sz w:val="24"/>
                <w:szCs w:val="24"/>
              </w:rPr>
              <w:t>查认证范围在营业执照的经营范围内。</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center"/>
          </w:tcPr>
          <w:p>
            <w:pPr>
              <w:spacing w:line="360" w:lineRule="auto"/>
              <w:rPr>
                <w:rFonts w:ascii="楷体" w:hAnsi="楷体" w:eastAsia="楷体"/>
                <w:sz w:val="24"/>
                <w:szCs w:val="24"/>
              </w:rPr>
            </w:pPr>
            <w:r>
              <w:rPr>
                <w:rFonts w:hint="eastAsia" w:ascii="楷体" w:hAnsi="楷体" w:eastAsia="楷体"/>
                <w:sz w:val="24"/>
                <w:szCs w:val="24"/>
              </w:rPr>
              <w:t>方针</w:t>
            </w:r>
          </w:p>
        </w:tc>
        <w:tc>
          <w:tcPr>
            <w:tcW w:w="1019" w:type="dxa"/>
            <w:vAlign w:val="center"/>
          </w:tcPr>
          <w:p>
            <w:pPr>
              <w:spacing w:line="360" w:lineRule="auto"/>
              <w:rPr>
                <w:rFonts w:ascii="楷体" w:hAnsi="楷体" w:eastAsia="楷体"/>
                <w:sz w:val="24"/>
                <w:szCs w:val="24"/>
              </w:rPr>
            </w:pPr>
            <w:r>
              <w:rPr>
                <w:rFonts w:hint="eastAsia" w:ascii="楷体" w:hAnsi="楷体" w:eastAsia="楷体"/>
                <w:sz w:val="24"/>
                <w:szCs w:val="24"/>
              </w:rPr>
              <w:t>5.2</w:t>
            </w:r>
          </w:p>
          <w:p>
            <w:pPr>
              <w:spacing w:line="360" w:lineRule="auto"/>
              <w:rPr>
                <w:rFonts w:ascii="楷体" w:hAnsi="楷体" w:eastAsia="楷体"/>
                <w:sz w:val="24"/>
                <w:szCs w:val="24"/>
              </w:rPr>
            </w:pPr>
          </w:p>
        </w:tc>
        <w:tc>
          <w:tcPr>
            <w:tcW w:w="11223" w:type="dxa"/>
            <w:vAlign w:val="center"/>
          </w:tcPr>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在《质量手册》中明确了质量方针：以高品质的产品和优质的服务，满足顾客多层次的需求；以技术创新为抓手，追求产品质量和服务质量持续改进。</w:t>
            </w:r>
          </w:p>
          <w:p>
            <w:pPr>
              <w:spacing w:line="360" w:lineRule="auto"/>
              <w:jc w:val="left"/>
              <w:rPr>
                <w:rFonts w:ascii="楷体" w:hAnsi="楷体" w:eastAsia="楷体"/>
                <w:sz w:val="24"/>
                <w:szCs w:val="24"/>
              </w:rPr>
            </w:pPr>
            <w:r>
              <w:rPr>
                <w:rFonts w:hint="eastAsia" w:ascii="楷体" w:hAnsi="楷体" w:eastAsia="楷体"/>
                <w:sz w:val="24"/>
                <w:szCs w:val="24"/>
              </w:rPr>
              <w:t>方针以文件的形式向各部门发放，会议上就质量方针作沟通。</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总经理和管代按照标准要求制订的方针，管理评审对质量方针的适宜性作了评审，判定适宜，适合公司的发展需求。质量方针符合标准要求。</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center"/>
          </w:tcPr>
          <w:p>
            <w:pPr>
              <w:spacing w:line="360" w:lineRule="auto"/>
              <w:rPr>
                <w:rFonts w:ascii="楷体" w:hAnsi="楷体" w:eastAsia="楷体"/>
                <w:sz w:val="24"/>
                <w:szCs w:val="24"/>
              </w:rPr>
            </w:pPr>
            <w:r>
              <w:rPr>
                <w:rFonts w:hint="eastAsia" w:ascii="楷体" w:hAnsi="楷体" w:eastAsia="楷体"/>
                <w:sz w:val="24"/>
                <w:szCs w:val="24"/>
              </w:rPr>
              <w:t>目标和措施计划</w:t>
            </w:r>
          </w:p>
        </w:tc>
        <w:tc>
          <w:tcPr>
            <w:tcW w:w="1019"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6.2  </w:t>
            </w:r>
          </w:p>
        </w:tc>
        <w:tc>
          <w:tcPr>
            <w:tcW w:w="11223" w:type="dxa"/>
            <w:vAlign w:val="center"/>
          </w:tcPr>
          <w:p>
            <w:pPr>
              <w:tabs>
                <w:tab w:val="right" w:pos="8306"/>
              </w:tabs>
              <w:spacing w:line="360" w:lineRule="auto"/>
              <w:rPr>
                <w:rFonts w:ascii="楷体" w:hAnsi="楷体" w:eastAsia="楷体"/>
                <w:sz w:val="24"/>
                <w:szCs w:val="24"/>
              </w:rPr>
            </w:pPr>
            <w:r>
              <w:rPr>
                <w:rFonts w:hint="eastAsia" w:ascii="楷体" w:hAnsi="楷体" w:eastAsia="楷体"/>
                <w:sz w:val="24"/>
                <w:szCs w:val="24"/>
              </w:rPr>
              <w:t>在《质量手册》中制定的公司目标有2项：</w:t>
            </w:r>
          </w:p>
          <w:p>
            <w:pPr>
              <w:tabs>
                <w:tab w:val="right" w:pos="8306"/>
              </w:tabs>
              <w:spacing w:line="360" w:lineRule="auto"/>
              <w:ind w:firstLine="480" w:firstLineChars="200"/>
              <w:rPr>
                <w:rFonts w:ascii="楷体" w:hAnsi="楷体" w:eastAsia="楷体"/>
                <w:sz w:val="24"/>
                <w:szCs w:val="24"/>
              </w:rPr>
            </w:pPr>
            <w:r>
              <w:rPr>
                <w:rFonts w:hint="eastAsia" w:ascii="楷体" w:hAnsi="楷体" w:eastAsia="楷体" w:cs="楷体"/>
                <w:sz w:val="24"/>
                <w:szCs w:val="24"/>
              </w:rPr>
              <w:t>1）</w:t>
            </w:r>
            <w:r>
              <w:rPr>
                <w:rFonts w:hint="eastAsia" w:ascii="楷体" w:hAnsi="楷体" w:eastAsia="楷体"/>
                <w:sz w:val="24"/>
                <w:szCs w:val="24"/>
              </w:rPr>
              <w:t>产品出厂合格率</w:t>
            </w:r>
            <w:r>
              <w:rPr>
                <w:rFonts w:ascii="楷体" w:hAnsi="楷体" w:eastAsia="楷体"/>
                <w:sz w:val="24"/>
                <w:szCs w:val="24"/>
              </w:rPr>
              <w:t>100%</w:t>
            </w:r>
          </w:p>
          <w:p>
            <w:pPr>
              <w:tabs>
                <w:tab w:val="right" w:pos="8306"/>
              </w:tabs>
              <w:spacing w:line="360" w:lineRule="auto"/>
              <w:ind w:firstLine="480" w:firstLineChars="200"/>
              <w:rPr>
                <w:rFonts w:ascii="楷体" w:hAnsi="楷体" w:eastAsia="楷体"/>
                <w:sz w:val="24"/>
                <w:szCs w:val="24"/>
              </w:rPr>
            </w:pPr>
            <w:r>
              <w:rPr>
                <w:rFonts w:hint="eastAsia" w:ascii="楷体" w:hAnsi="楷体" w:eastAsia="楷体"/>
                <w:sz w:val="24"/>
                <w:szCs w:val="24"/>
              </w:rPr>
              <w:t>2）顾客满意度95分以上；</w:t>
            </w:r>
          </w:p>
          <w:p>
            <w:pPr>
              <w:tabs>
                <w:tab w:val="right" w:pos="8306"/>
              </w:tabs>
              <w:spacing w:line="360" w:lineRule="auto"/>
              <w:ind w:firstLine="480" w:firstLineChars="200"/>
              <w:rPr>
                <w:rFonts w:ascii="楷体" w:hAnsi="楷体" w:eastAsia="楷体"/>
                <w:sz w:val="24"/>
                <w:szCs w:val="24"/>
              </w:rPr>
            </w:pPr>
            <w:r>
              <w:rPr>
                <w:rFonts w:hint="eastAsia" w:ascii="楷体" w:hAnsi="楷体" w:eastAsia="楷体"/>
                <w:sz w:val="24"/>
                <w:szCs w:val="24"/>
              </w:rPr>
              <w:t>提供的《公司及各部门质量目标》，表明目标已分解到各部门，有计算方法、考核依据、考核人、考核周期，部门目标分解充分，</w:t>
            </w:r>
            <w:r>
              <w:rPr>
                <w:rFonts w:hint="eastAsia" w:ascii="楷体" w:hAnsi="楷体" w:eastAsia="楷体"/>
                <w:sz w:val="24"/>
                <w:szCs w:val="24"/>
                <w:lang w:val="en-US" w:eastAsia="zh-CN"/>
              </w:rPr>
              <w:t>经2022年3月15日考核</w:t>
            </w:r>
            <w:r>
              <w:rPr>
                <w:rFonts w:hint="eastAsia" w:ascii="楷体" w:hAnsi="楷体" w:eastAsia="楷体"/>
                <w:sz w:val="24"/>
                <w:szCs w:val="24"/>
              </w:rPr>
              <w:t>各目标已达成，具体达成情况见各部门目标完成记录单。</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center"/>
          </w:tcPr>
          <w:p>
            <w:pPr>
              <w:spacing w:line="360" w:lineRule="auto"/>
              <w:rPr>
                <w:rFonts w:ascii="楷体" w:hAnsi="楷体" w:eastAsia="楷体"/>
                <w:sz w:val="24"/>
                <w:szCs w:val="24"/>
              </w:rPr>
            </w:pPr>
            <w:r>
              <w:rPr>
                <w:rFonts w:hint="eastAsia" w:ascii="楷体" w:hAnsi="楷体" w:eastAsia="楷体"/>
                <w:sz w:val="24"/>
                <w:szCs w:val="24"/>
              </w:rPr>
              <w:t>管理评审</w:t>
            </w:r>
          </w:p>
        </w:tc>
        <w:tc>
          <w:tcPr>
            <w:tcW w:w="1019"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Q9.3 </w:t>
            </w:r>
          </w:p>
          <w:p>
            <w:pPr>
              <w:spacing w:line="360" w:lineRule="auto"/>
              <w:rPr>
                <w:rFonts w:ascii="楷体" w:hAnsi="楷体" w:eastAsia="楷体"/>
                <w:sz w:val="24"/>
                <w:szCs w:val="24"/>
              </w:rPr>
            </w:pPr>
          </w:p>
        </w:tc>
        <w:tc>
          <w:tcPr>
            <w:tcW w:w="1122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202</w:t>
            </w:r>
            <w:r>
              <w:rPr>
                <w:rFonts w:hint="eastAsia" w:ascii="楷体" w:hAnsi="楷体" w:eastAsia="楷体"/>
                <w:sz w:val="24"/>
                <w:szCs w:val="24"/>
                <w:lang w:val="en-US" w:eastAsia="zh-CN"/>
              </w:rPr>
              <w:t>2</w:t>
            </w:r>
            <w:r>
              <w:rPr>
                <w:rFonts w:hint="eastAsia" w:ascii="楷体" w:hAnsi="楷体" w:eastAsia="楷体"/>
                <w:sz w:val="24"/>
                <w:szCs w:val="24"/>
              </w:rPr>
              <w:t>年3月2</w:t>
            </w:r>
            <w:r>
              <w:rPr>
                <w:rFonts w:hint="eastAsia" w:ascii="楷体" w:hAnsi="楷体" w:eastAsia="楷体"/>
                <w:sz w:val="24"/>
                <w:szCs w:val="24"/>
                <w:lang w:val="en-US" w:eastAsia="zh-CN"/>
              </w:rPr>
              <w:t>8</w:t>
            </w:r>
            <w:r>
              <w:rPr>
                <w:rFonts w:hint="eastAsia" w:ascii="楷体" w:hAnsi="楷体" w:eastAsia="楷体"/>
                <w:sz w:val="24"/>
                <w:szCs w:val="24"/>
              </w:rPr>
              <w:t>日召开管理评审会议，由</w:t>
            </w:r>
            <w:r>
              <w:rPr>
                <w:rFonts w:hint="eastAsia" w:ascii="楷体" w:hAnsi="楷体" w:eastAsia="楷体"/>
                <w:sz w:val="24"/>
                <w:szCs w:val="24"/>
                <w:lang w:val="en-US" w:eastAsia="zh-CN"/>
              </w:rPr>
              <w:t>黄明龙</w:t>
            </w:r>
            <w:r>
              <w:rPr>
                <w:rFonts w:hint="eastAsia" w:ascii="楷体" w:hAnsi="楷体" w:eastAsia="楷体"/>
                <w:sz w:val="24"/>
                <w:szCs w:val="24"/>
              </w:rPr>
              <w:t>总经理主持；</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保留管理评审计划、管理评审报告、管理评审会议纪要等；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管理评审输入充分；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管理评审结论：管理体系的建立和运行是充分的、适宜的、有效的。</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改进措施要求：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1）进一步加强对员工技能培训及不合格品处理的控制；</w:t>
            </w:r>
          </w:p>
          <w:p>
            <w:pPr>
              <w:spacing w:line="360" w:lineRule="auto"/>
              <w:ind w:firstLine="480" w:firstLineChars="200"/>
              <w:rPr>
                <w:rFonts w:ascii="楷体" w:hAnsi="楷体" w:eastAsia="楷体"/>
                <w:sz w:val="24"/>
                <w:szCs w:val="24"/>
              </w:rPr>
            </w:pPr>
            <w:r>
              <w:rPr>
                <w:rFonts w:hint="eastAsia" w:ascii="楷体" w:hAnsi="楷体" w:eastAsia="楷体"/>
                <w:sz w:val="24"/>
                <w:szCs w:val="24"/>
              </w:rPr>
              <w:t>2）节能降耗，减少生产车间和办公区域资源能源和办公器材消耗量；</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查以上措施还在实施中，未完成。</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7" w:type="dxa"/>
            <w:vAlign w:val="center"/>
          </w:tcPr>
          <w:p>
            <w:pPr>
              <w:spacing w:line="360" w:lineRule="auto"/>
              <w:rPr>
                <w:rFonts w:ascii="楷体" w:hAnsi="楷体" w:eastAsia="楷体"/>
                <w:sz w:val="24"/>
                <w:szCs w:val="24"/>
              </w:rPr>
            </w:pPr>
            <w:r>
              <w:rPr>
                <w:rFonts w:hint="eastAsia" w:ascii="楷体" w:hAnsi="楷体" w:eastAsia="楷体"/>
                <w:sz w:val="24"/>
                <w:szCs w:val="24"/>
              </w:rPr>
              <w:t>改进</w:t>
            </w:r>
          </w:p>
          <w:p>
            <w:pPr>
              <w:spacing w:line="360" w:lineRule="auto"/>
              <w:rPr>
                <w:rFonts w:ascii="楷体" w:hAnsi="楷体" w:eastAsia="楷体"/>
                <w:sz w:val="24"/>
                <w:szCs w:val="24"/>
              </w:rPr>
            </w:pPr>
          </w:p>
        </w:tc>
        <w:tc>
          <w:tcPr>
            <w:tcW w:w="1019" w:type="dxa"/>
            <w:vAlign w:val="center"/>
          </w:tcPr>
          <w:p>
            <w:pPr>
              <w:spacing w:line="360" w:lineRule="auto"/>
              <w:rPr>
                <w:rFonts w:ascii="楷体" w:hAnsi="楷体" w:eastAsia="楷体"/>
                <w:sz w:val="24"/>
                <w:szCs w:val="24"/>
              </w:rPr>
            </w:pPr>
            <w:r>
              <w:rPr>
                <w:rFonts w:hint="eastAsia" w:ascii="楷体" w:hAnsi="楷体" w:eastAsia="楷体"/>
                <w:sz w:val="24"/>
                <w:szCs w:val="24"/>
              </w:rPr>
              <w:t>10.1</w:t>
            </w:r>
          </w:p>
          <w:p>
            <w:pPr>
              <w:spacing w:line="360" w:lineRule="auto"/>
              <w:rPr>
                <w:rFonts w:ascii="楷体" w:hAnsi="楷体" w:eastAsia="楷体"/>
                <w:sz w:val="24"/>
                <w:szCs w:val="24"/>
              </w:rPr>
            </w:pPr>
            <w:r>
              <w:rPr>
                <w:rFonts w:hint="eastAsia" w:ascii="楷体" w:hAnsi="楷体" w:eastAsia="楷体"/>
                <w:sz w:val="24"/>
                <w:szCs w:val="24"/>
              </w:rPr>
              <w:t>10.3</w:t>
            </w:r>
          </w:p>
          <w:p>
            <w:pPr>
              <w:spacing w:line="360" w:lineRule="auto"/>
              <w:rPr>
                <w:rFonts w:ascii="楷体" w:hAnsi="楷体" w:eastAsia="楷体"/>
                <w:sz w:val="24"/>
                <w:szCs w:val="24"/>
              </w:rPr>
            </w:pPr>
          </w:p>
        </w:tc>
        <w:tc>
          <w:tcPr>
            <w:tcW w:w="1122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根据公司的战略方向，利用质量方针、质量目标、审核结果、数据分析的输出、管理评审输出、风险和机遇的应对措施、过程监视和测量结果、质量绩效分析和评价、顾客投诉、满意度测量输出，发现改进的机会，采取措施，实施对管理体系的有效性的持续改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针对相关方的需求和期望、市场分析结果、数据分析的输出等发现的潜在不合格确定并实施改进措施，实现持续改进。</w:t>
            </w:r>
          </w:p>
          <w:p>
            <w:pPr>
              <w:spacing w:line="360" w:lineRule="auto"/>
              <w:ind w:firstLine="480" w:firstLineChars="200"/>
              <w:rPr>
                <w:rFonts w:ascii="楷体" w:hAnsi="楷体" w:eastAsia="楷体"/>
                <w:sz w:val="24"/>
                <w:szCs w:val="24"/>
              </w:rPr>
            </w:pPr>
            <w:r>
              <w:rPr>
                <w:rFonts w:ascii="楷体" w:hAnsi="楷体" w:eastAsia="楷体"/>
                <w:sz w:val="24"/>
                <w:szCs w:val="24"/>
              </w:rPr>
              <w:t>抽查去年管理评审改善完成情况；</w:t>
            </w:r>
            <w:r>
              <w:rPr>
                <w:rFonts w:hint="eastAsia" w:ascii="楷体" w:hAnsi="楷体" w:eastAsia="楷体"/>
                <w:sz w:val="24"/>
                <w:szCs w:val="24"/>
              </w:rPr>
              <w:t>1）进一步组织对GB/T19001-2016/ISO 9001：2015标准、《管理手册》、《程序文件》的学习和培训，使与管理体系有关的人员了解和掌握标准和本公司管理体系文件的内容，特别是应该提高内审员的水平和技巧；2）进一步组织对相关的法律、法规、规程和规范的学习，以增强广大技术人员的质量意识；已由办公室制订培训计划，并完成培训考核。</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7" w:type="dxa"/>
            <w:vAlign w:val="center"/>
          </w:tcPr>
          <w:p>
            <w:pPr>
              <w:spacing w:line="360" w:lineRule="auto"/>
              <w:rPr>
                <w:rFonts w:ascii="楷体" w:hAnsi="楷体" w:eastAsia="楷体"/>
                <w:sz w:val="24"/>
                <w:szCs w:val="24"/>
              </w:rPr>
            </w:pPr>
            <w:r>
              <w:rPr>
                <w:rFonts w:hint="eastAsia" w:ascii="楷体" w:hAnsi="楷体" w:eastAsia="楷体"/>
                <w:sz w:val="24"/>
                <w:szCs w:val="24"/>
              </w:rPr>
              <w:t>标准/规范/法规的执行情况</w:t>
            </w:r>
          </w:p>
        </w:tc>
        <w:tc>
          <w:tcPr>
            <w:tcW w:w="1019" w:type="dxa"/>
            <w:vAlign w:val="center"/>
          </w:tcPr>
          <w:p>
            <w:pPr>
              <w:spacing w:line="360" w:lineRule="auto"/>
              <w:rPr>
                <w:rFonts w:ascii="楷体" w:hAnsi="楷体" w:eastAsia="楷体"/>
                <w:sz w:val="24"/>
                <w:szCs w:val="24"/>
              </w:rPr>
            </w:pPr>
          </w:p>
        </w:tc>
        <w:tc>
          <w:tcPr>
            <w:tcW w:w="11223" w:type="dxa"/>
            <w:vAlign w:val="center"/>
          </w:tcPr>
          <w:p>
            <w:pPr>
              <w:spacing w:line="360" w:lineRule="auto"/>
              <w:ind w:firstLine="480" w:firstLineChars="200"/>
              <w:rPr>
                <w:rFonts w:ascii="楷体" w:hAnsi="楷体" w:eastAsia="楷体"/>
                <w:sz w:val="24"/>
                <w:szCs w:val="24"/>
              </w:rPr>
            </w:pPr>
            <w:r>
              <w:rPr>
                <w:rFonts w:ascii="楷体" w:hAnsi="楷体" w:eastAsia="楷体"/>
                <w:sz w:val="24"/>
                <w:szCs w:val="24"/>
              </w:rPr>
              <w:t>未发生重大质量事故、安全事故、准守法律法规要求。</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center"/>
          </w:tcPr>
          <w:p>
            <w:pPr>
              <w:spacing w:line="360" w:lineRule="auto"/>
              <w:rPr>
                <w:rFonts w:ascii="楷体" w:hAnsi="楷体" w:eastAsia="楷体"/>
                <w:sz w:val="24"/>
                <w:szCs w:val="24"/>
              </w:rPr>
            </w:pPr>
            <w:r>
              <w:rPr>
                <w:rFonts w:hint="eastAsia" w:ascii="楷体" w:hAnsi="楷体" w:eastAsia="楷体"/>
                <w:sz w:val="24"/>
                <w:szCs w:val="24"/>
              </w:rPr>
              <w:t>上次审核不符合项的验证</w:t>
            </w:r>
          </w:p>
        </w:tc>
        <w:tc>
          <w:tcPr>
            <w:tcW w:w="1019" w:type="dxa"/>
            <w:vAlign w:val="center"/>
          </w:tcPr>
          <w:p>
            <w:pPr>
              <w:spacing w:line="360" w:lineRule="auto"/>
              <w:rPr>
                <w:rFonts w:ascii="楷体" w:hAnsi="楷体" w:eastAsia="楷体"/>
                <w:sz w:val="24"/>
                <w:szCs w:val="24"/>
              </w:rPr>
            </w:pPr>
          </w:p>
        </w:tc>
        <w:tc>
          <w:tcPr>
            <w:tcW w:w="1122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去年审核共发现不符合项1个：</w:t>
            </w:r>
          </w:p>
          <w:p>
            <w:pPr>
              <w:ind w:firstLine="480"/>
              <w:rPr>
                <w:rFonts w:ascii="楷体" w:hAnsi="楷体" w:eastAsia="楷体"/>
                <w:sz w:val="24"/>
                <w:szCs w:val="24"/>
              </w:rPr>
            </w:pPr>
            <w:r>
              <w:rPr>
                <w:rFonts w:hint="eastAsia" w:ascii="楷体" w:hAnsi="楷体" w:eastAsia="楷体" w:cs="楷体"/>
                <w:b w:val="0"/>
                <w:bCs/>
                <w:sz w:val="24"/>
                <w:szCs w:val="24"/>
              </w:rPr>
              <w:t>公司未能提供合格供方中鸿利包装的“供方调查评价表”，不符合要求。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经本次审核验证无类似不符合情况出现，整改措施有效。</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center"/>
          </w:tcPr>
          <w:p>
            <w:pPr>
              <w:spacing w:line="360" w:lineRule="auto"/>
              <w:rPr>
                <w:rFonts w:ascii="楷体" w:hAnsi="楷体" w:eastAsia="楷体"/>
                <w:sz w:val="24"/>
                <w:szCs w:val="24"/>
              </w:rPr>
            </w:pPr>
            <w:r>
              <w:rPr>
                <w:rFonts w:hint="eastAsia" w:ascii="楷体" w:hAnsi="楷体" w:eastAsia="楷体"/>
                <w:sz w:val="24"/>
                <w:szCs w:val="24"/>
              </w:rPr>
              <w:t>认证证书、标志的使用情况</w:t>
            </w:r>
          </w:p>
        </w:tc>
        <w:tc>
          <w:tcPr>
            <w:tcW w:w="1019" w:type="dxa"/>
            <w:vAlign w:val="center"/>
          </w:tcPr>
          <w:p>
            <w:pPr>
              <w:spacing w:line="360" w:lineRule="auto"/>
              <w:rPr>
                <w:rFonts w:ascii="楷体" w:hAnsi="楷体" w:eastAsia="楷体"/>
                <w:sz w:val="24"/>
                <w:szCs w:val="24"/>
              </w:rPr>
            </w:pPr>
          </w:p>
        </w:tc>
        <w:tc>
          <w:tcPr>
            <w:tcW w:w="1122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标志未应用在产品上；投标等情况使用认证证书。</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center"/>
          </w:tcPr>
          <w:p>
            <w:pPr>
              <w:spacing w:line="360" w:lineRule="auto"/>
              <w:rPr>
                <w:rFonts w:ascii="楷体" w:hAnsi="楷体" w:eastAsia="楷体"/>
                <w:sz w:val="24"/>
                <w:szCs w:val="24"/>
              </w:rPr>
            </w:pPr>
            <w:r>
              <w:rPr>
                <w:rFonts w:hint="eastAsia" w:ascii="楷体" w:hAnsi="楷体" w:eastAsia="楷体"/>
                <w:sz w:val="24"/>
                <w:szCs w:val="24"/>
              </w:rPr>
              <w:t>投诉或事故、监督抽查情况、</w:t>
            </w:r>
          </w:p>
        </w:tc>
        <w:tc>
          <w:tcPr>
            <w:tcW w:w="1019" w:type="dxa"/>
            <w:vAlign w:val="center"/>
          </w:tcPr>
          <w:p>
            <w:pPr>
              <w:spacing w:line="360" w:lineRule="auto"/>
              <w:rPr>
                <w:rFonts w:ascii="楷体" w:hAnsi="楷体" w:eastAsia="楷体"/>
                <w:sz w:val="24"/>
                <w:szCs w:val="24"/>
              </w:rPr>
            </w:pPr>
          </w:p>
        </w:tc>
        <w:tc>
          <w:tcPr>
            <w:tcW w:w="1122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自公司成立以来，未受到上级主管部门有关质量、职业健康安全的行政处罚。未发生相关方的投诉。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暂时没有国家/地方抽查情况。</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707" w:type="dxa"/>
            <w:vAlign w:val="center"/>
          </w:tcPr>
          <w:p>
            <w:pPr>
              <w:spacing w:line="360" w:lineRule="auto"/>
              <w:rPr>
                <w:rFonts w:ascii="楷体" w:hAnsi="楷体" w:eastAsia="楷体"/>
                <w:sz w:val="24"/>
                <w:szCs w:val="24"/>
              </w:rPr>
            </w:pPr>
            <w:r>
              <w:rPr>
                <w:rFonts w:hint="eastAsia" w:ascii="楷体" w:hAnsi="楷体" w:eastAsia="楷体"/>
                <w:sz w:val="24"/>
                <w:szCs w:val="24"/>
              </w:rPr>
              <w:t>体系变动</w:t>
            </w:r>
          </w:p>
        </w:tc>
        <w:tc>
          <w:tcPr>
            <w:tcW w:w="1019" w:type="dxa"/>
            <w:vAlign w:val="center"/>
          </w:tcPr>
          <w:p>
            <w:pPr>
              <w:spacing w:line="360" w:lineRule="auto"/>
              <w:rPr>
                <w:rFonts w:ascii="楷体" w:hAnsi="楷体" w:eastAsia="楷体"/>
                <w:sz w:val="24"/>
                <w:szCs w:val="24"/>
              </w:rPr>
            </w:pPr>
          </w:p>
        </w:tc>
        <w:tc>
          <w:tcPr>
            <w:tcW w:w="11223"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管理手册和程序文件进行了换版，由B0变更为C0版，其他无变化</w:t>
            </w:r>
            <w:r>
              <w:rPr>
                <w:rFonts w:ascii="楷体" w:hAnsi="楷体" w:eastAsia="楷体"/>
                <w:sz w:val="24"/>
                <w:szCs w:val="24"/>
              </w:rPr>
              <w:t>。</w:t>
            </w:r>
          </w:p>
        </w:tc>
        <w:tc>
          <w:tcPr>
            <w:tcW w:w="760" w:type="dxa"/>
          </w:tcPr>
          <w:p>
            <w:pPr>
              <w:spacing w:line="360" w:lineRule="auto"/>
              <w:rPr>
                <w:rFonts w:cs="宋体" w:asciiTheme="minorEastAsia" w:hAnsiTheme="minorEastAsia" w:eastAsiaTheme="minorEastAsia"/>
                <w:sz w:val="24"/>
                <w:szCs w:val="24"/>
              </w:rPr>
            </w:pPr>
            <w:r>
              <w:rPr>
                <w:rFonts w:cs="宋体" w:asciiTheme="minorEastAsia" w:hAnsiTheme="minorEastAsia" w:eastAsiaTheme="minorEastAsia"/>
                <w:sz w:val="24"/>
                <w:szCs w:val="24"/>
              </w:rPr>
              <w:t>Y</w:t>
            </w:r>
          </w:p>
        </w:tc>
      </w:tr>
    </w:tbl>
    <w:p>
      <w:pPr>
        <w:pStyle w:val="5"/>
        <w:spacing w:line="360" w:lineRule="auto"/>
        <w:rPr>
          <w:rFonts w:ascii="楷体" w:hAnsi="楷体" w:eastAsia="楷体"/>
          <w:sz w:val="24"/>
          <w:szCs w:val="24"/>
        </w:rPr>
      </w:pPr>
      <w:r>
        <w:rPr>
          <w:rFonts w:hint="eastAsia" w:ascii="楷体" w:hAnsi="楷体" w:eastAsia="楷体"/>
          <w:sz w:val="24"/>
          <w:szCs w:val="24"/>
        </w:rPr>
        <w:t>说明：不符合标注N</w:t>
      </w:r>
    </w:p>
    <w:p>
      <w:pPr>
        <w:pStyle w:val="5"/>
        <w:spacing w:line="360" w:lineRule="auto"/>
        <w:rPr>
          <w:rFonts w:ascii="楷体" w:hAnsi="楷体" w:eastAsia="楷体"/>
          <w:sz w:val="24"/>
          <w:szCs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11AB3"/>
    <w:rsid w:val="00022B60"/>
    <w:rsid w:val="000237F6"/>
    <w:rsid w:val="0003373A"/>
    <w:rsid w:val="00037422"/>
    <w:rsid w:val="00061650"/>
    <w:rsid w:val="00066269"/>
    <w:rsid w:val="00075183"/>
    <w:rsid w:val="0008257F"/>
    <w:rsid w:val="00087633"/>
    <w:rsid w:val="00092153"/>
    <w:rsid w:val="00094CAD"/>
    <w:rsid w:val="000974BB"/>
    <w:rsid w:val="000B011B"/>
    <w:rsid w:val="000B1497"/>
    <w:rsid w:val="000D0710"/>
    <w:rsid w:val="000D44D2"/>
    <w:rsid w:val="000E381C"/>
    <w:rsid w:val="000E3E7C"/>
    <w:rsid w:val="000E5921"/>
    <w:rsid w:val="000F5676"/>
    <w:rsid w:val="00116523"/>
    <w:rsid w:val="001170CC"/>
    <w:rsid w:val="00123D60"/>
    <w:rsid w:val="00124334"/>
    <w:rsid w:val="00131AA4"/>
    <w:rsid w:val="00136644"/>
    <w:rsid w:val="001528B4"/>
    <w:rsid w:val="00157648"/>
    <w:rsid w:val="001633B4"/>
    <w:rsid w:val="00185847"/>
    <w:rsid w:val="001A2D7F"/>
    <w:rsid w:val="001B690A"/>
    <w:rsid w:val="001C1192"/>
    <w:rsid w:val="001D22BC"/>
    <w:rsid w:val="001D4541"/>
    <w:rsid w:val="001E292E"/>
    <w:rsid w:val="001E4E51"/>
    <w:rsid w:val="001F3BCB"/>
    <w:rsid w:val="00200329"/>
    <w:rsid w:val="00215FF3"/>
    <w:rsid w:val="00247EC4"/>
    <w:rsid w:val="00270F7E"/>
    <w:rsid w:val="002D3139"/>
    <w:rsid w:val="002E3F80"/>
    <w:rsid w:val="00306A1E"/>
    <w:rsid w:val="00306E25"/>
    <w:rsid w:val="003108B1"/>
    <w:rsid w:val="00321B19"/>
    <w:rsid w:val="00337922"/>
    <w:rsid w:val="00340867"/>
    <w:rsid w:val="00341987"/>
    <w:rsid w:val="00362F86"/>
    <w:rsid w:val="00364679"/>
    <w:rsid w:val="00380837"/>
    <w:rsid w:val="00383E85"/>
    <w:rsid w:val="003A198A"/>
    <w:rsid w:val="003B71CE"/>
    <w:rsid w:val="003F725E"/>
    <w:rsid w:val="004077A9"/>
    <w:rsid w:val="00410914"/>
    <w:rsid w:val="00410E0B"/>
    <w:rsid w:val="00415C1E"/>
    <w:rsid w:val="00416DAA"/>
    <w:rsid w:val="00441E52"/>
    <w:rsid w:val="00455BD1"/>
    <w:rsid w:val="004569CC"/>
    <w:rsid w:val="00456F2B"/>
    <w:rsid w:val="004644C2"/>
    <w:rsid w:val="0046635D"/>
    <w:rsid w:val="00475023"/>
    <w:rsid w:val="004A42EB"/>
    <w:rsid w:val="004C4753"/>
    <w:rsid w:val="0051000D"/>
    <w:rsid w:val="0051463B"/>
    <w:rsid w:val="005220D8"/>
    <w:rsid w:val="0052306B"/>
    <w:rsid w:val="00524912"/>
    <w:rsid w:val="005344B3"/>
    <w:rsid w:val="00536930"/>
    <w:rsid w:val="00556536"/>
    <w:rsid w:val="00564E53"/>
    <w:rsid w:val="00564E60"/>
    <w:rsid w:val="00572023"/>
    <w:rsid w:val="00584D34"/>
    <w:rsid w:val="00596570"/>
    <w:rsid w:val="005A2084"/>
    <w:rsid w:val="005B76D5"/>
    <w:rsid w:val="005B7C26"/>
    <w:rsid w:val="005B7DA8"/>
    <w:rsid w:val="005D5BBC"/>
    <w:rsid w:val="005F0597"/>
    <w:rsid w:val="00601288"/>
    <w:rsid w:val="006014BD"/>
    <w:rsid w:val="00617277"/>
    <w:rsid w:val="006224AF"/>
    <w:rsid w:val="006226A0"/>
    <w:rsid w:val="00630756"/>
    <w:rsid w:val="006337B2"/>
    <w:rsid w:val="00635728"/>
    <w:rsid w:val="006376F1"/>
    <w:rsid w:val="00644FE2"/>
    <w:rsid w:val="006476A2"/>
    <w:rsid w:val="0066389B"/>
    <w:rsid w:val="00663FB2"/>
    <w:rsid w:val="00664375"/>
    <w:rsid w:val="006703A6"/>
    <w:rsid w:val="00674346"/>
    <w:rsid w:val="0067640C"/>
    <w:rsid w:val="0068334B"/>
    <w:rsid w:val="0068587A"/>
    <w:rsid w:val="006C725D"/>
    <w:rsid w:val="006E0BFD"/>
    <w:rsid w:val="006E678B"/>
    <w:rsid w:val="006F026D"/>
    <w:rsid w:val="00712775"/>
    <w:rsid w:val="0071424F"/>
    <w:rsid w:val="00721818"/>
    <w:rsid w:val="00723474"/>
    <w:rsid w:val="00734992"/>
    <w:rsid w:val="007545E5"/>
    <w:rsid w:val="00756E54"/>
    <w:rsid w:val="00762C61"/>
    <w:rsid w:val="0077082C"/>
    <w:rsid w:val="007727AB"/>
    <w:rsid w:val="007757F3"/>
    <w:rsid w:val="0078522A"/>
    <w:rsid w:val="00790A31"/>
    <w:rsid w:val="00790B4D"/>
    <w:rsid w:val="00791D53"/>
    <w:rsid w:val="0079270C"/>
    <w:rsid w:val="0079343F"/>
    <w:rsid w:val="007B6294"/>
    <w:rsid w:val="007D46B1"/>
    <w:rsid w:val="007E0DE5"/>
    <w:rsid w:val="007E6AEB"/>
    <w:rsid w:val="008074F1"/>
    <w:rsid w:val="00812953"/>
    <w:rsid w:val="00823A5A"/>
    <w:rsid w:val="008427A1"/>
    <w:rsid w:val="00876444"/>
    <w:rsid w:val="00876BDE"/>
    <w:rsid w:val="0087713C"/>
    <w:rsid w:val="00891D6B"/>
    <w:rsid w:val="008973EE"/>
    <w:rsid w:val="008B02ED"/>
    <w:rsid w:val="008E5120"/>
    <w:rsid w:val="008F4958"/>
    <w:rsid w:val="00906BB3"/>
    <w:rsid w:val="00944AD1"/>
    <w:rsid w:val="00960CD9"/>
    <w:rsid w:val="009637EE"/>
    <w:rsid w:val="00965516"/>
    <w:rsid w:val="00966CB3"/>
    <w:rsid w:val="00971600"/>
    <w:rsid w:val="00973048"/>
    <w:rsid w:val="0097353F"/>
    <w:rsid w:val="00980E14"/>
    <w:rsid w:val="009973B4"/>
    <w:rsid w:val="009A158D"/>
    <w:rsid w:val="009A58B7"/>
    <w:rsid w:val="009A7349"/>
    <w:rsid w:val="009B01BB"/>
    <w:rsid w:val="009B6424"/>
    <w:rsid w:val="009C28C1"/>
    <w:rsid w:val="009D0730"/>
    <w:rsid w:val="009F672C"/>
    <w:rsid w:val="009F7EED"/>
    <w:rsid w:val="00A0591D"/>
    <w:rsid w:val="00A35738"/>
    <w:rsid w:val="00A4404F"/>
    <w:rsid w:val="00A61090"/>
    <w:rsid w:val="00A6164F"/>
    <w:rsid w:val="00A70919"/>
    <w:rsid w:val="00A72F49"/>
    <w:rsid w:val="00A771C4"/>
    <w:rsid w:val="00A90739"/>
    <w:rsid w:val="00A9401E"/>
    <w:rsid w:val="00AA0C6B"/>
    <w:rsid w:val="00AA1945"/>
    <w:rsid w:val="00AB7E2D"/>
    <w:rsid w:val="00AB7F5F"/>
    <w:rsid w:val="00AD13A9"/>
    <w:rsid w:val="00AE0C4D"/>
    <w:rsid w:val="00AE48AD"/>
    <w:rsid w:val="00AE59FA"/>
    <w:rsid w:val="00AF0AAB"/>
    <w:rsid w:val="00AF6841"/>
    <w:rsid w:val="00B008F1"/>
    <w:rsid w:val="00B01B68"/>
    <w:rsid w:val="00B021AE"/>
    <w:rsid w:val="00B2792E"/>
    <w:rsid w:val="00B34606"/>
    <w:rsid w:val="00B42593"/>
    <w:rsid w:val="00B45F3A"/>
    <w:rsid w:val="00B552C5"/>
    <w:rsid w:val="00B67984"/>
    <w:rsid w:val="00B75671"/>
    <w:rsid w:val="00B81B70"/>
    <w:rsid w:val="00B91193"/>
    <w:rsid w:val="00B93168"/>
    <w:rsid w:val="00BA73A2"/>
    <w:rsid w:val="00BB28E5"/>
    <w:rsid w:val="00BB2BF9"/>
    <w:rsid w:val="00BF04CA"/>
    <w:rsid w:val="00BF0916"/>
    <w:rsid w:val="00BF597E"/>
    <w:rsid w:val="00C03796"/>
    <w:rsid w:val="00C20445"/>
    <w:rsid w:val="00C24BC6"/>
    <w:rsid w:val="00C326B4"/>
    <w:rsid w:val="00C327EC"/>
    <w:rsid w:val="00C32BE2"/>
    <w:rsid w:val="00C331DA"/>
    <w:rsid w:val="00C36E8A"/>
    <w:rsid w:val="00C40849"/>
    <w:rsid w:val="00C44FE0"/>
    <w:rsid w:val="00C51A36"/>
    <w:rsid w:val="00C545B4"/>
    <w:rsid w:val="00C55228"/>
    <w:rsid w:val="00C80022"/>
    <w:rsid w:val="00C96C4A"/>
    <w:rsid w:val="00C97720"/>
    <w:rsid w:val="00CA53C3"/>
    <w:rsid w:val="00CA59A1"/>
    <w:rsid w:val="00CB3235"/>
    <w:rsid w:val="00CB71C3"/>
    <w:rsid w:val="00CC2B8C"/>
    <w:rsid w:val="00CC5B90"/>
    <w:rsid w:val="00CE315A"/>
    <w:rsid w:val="00CE7799"/>
    <w:rsid w:val="00CF418F"/>
    <w:rsid w:val="00D06F59"/>
    <w:rsid w:val="00D13BA0"/>
    <w:rsid w:val="00D23748"/>
    <w:rsid w:val="00D30CD3"/>
    <w:rsid w:val="00D505C2"/>
    <w:rsid w:val="00D53965"/>
    <w:rsid w:val="00D63212"/>
    <w:rsid w:val="00D67E83"/>
    <w:rsid w:val="00D828F1"/>
    <w:rsid w:val="00D82D62"/>
    <w:rsid w:val="00D8388C"/>
    <w:rsid w:val="00D87E82"/>
    <w:rsid w:val="00D95D59"/>
    <w:rsid w:val="00D9664F"/>
    <w:rsid w:val="00D972FF"/>
    <w:rsid w:val="00DA7D0B"/>
    <w:rsid w:val="00DB7F5E"/>
    <w:rsid w:val="00DC6F75"/>
    <w:rsid w:val="00DE75B7"/>
    <w:rsid w:val="00E1119F"/>
    <w:rsid w:val="00E2205C"/>
    <w:rsid w:val="00E254CA"/>
    <w:rsid w:val="00E340D6"/>
    <w:rsid w:val="00E469EA"/>
    <w:rsid w:val="00E50A81"/>
    <w:rsid w:val="00E70140"/>
    <w:rsid w:val="00E76BC5"/>
    <w:rsid w:val="00E820FE"/>
    <w:rsid w:val="00E85A97"/>
    <w:rsid w:val="00E907FB"/>
    <w:rsid w:val="00EA62BC"/>
    <w:rsid w:val="00EB0164"/>
    <w:rsid w:val="00EC00A9"/>
    <w:rsid w:val="00EC2927"/>
    <w:rsid w:val="00ED0F62"/>
    <w:rsid w:val="00EE002F"/>
    <w:rsid w:val="00EE0633"/>
    <w:rsid w:val="00EE5333"/>
    <w:rsid w:val="00EF0F90"/>
    <w:rsid w:val="00F00A91"/>
    <w:rsid w:val="00F30930"/>
    <w:rsid w:val="00F470F5"/>
    <w:rsid w:val="00F65FFA"/>
    <w:rsid w:val="00F83341"/>
    <w:rsid w:val="00FA3C55"/>
    <w:rsid w:val="00FA4545"/>
    <w:rsid w:val="00FA6523"/>
    <w:rsid w:val="00FC1416"/>
    <w:rsid w:val="00FC5828"/>
    <w:rsid w:val="00FD2D04"/>
    <w:rsid w:val="00FE0102"/>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BB5431D"/>
    <w:rsid w:val="2C703113"/>
    <w:rsid w:val="2CF30AC4"/>
    <w:rsid w:val="2D9327E0"/>
    <w:rsid w:val="2E00760C"/>
    <w:rsid w:val="2EE93C61"/>
    <w:rsid w:val="2FEB299B"/>
    <w:rsid w:val="32691255"/>
    <w:rsid w:val="32C11AD5"/>
    <w:rsid w:val="34041CDB"/>
    <w:rsid w:val="3438524B"/>
    <w:rsid w:val="347A7706"/>
    <w:rsid w:val="34B32935"/>
    <w:rsid w:val="353408EA"/>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15E1184"/>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23110E7"/>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80" w:firstLineChars="200"/>
    </w:pPr>
    <w:rPr>
      <w:sz w:val="24"/>
    </w:rPr>
  </w:style>
  <w:style w:type="paragraph" w:styleId="3">
    <w:name w:val="Plain Text"/>
    <w:basedOn w:val="1"/>
    <w:link w:val="18"/>
    <w:unhideWhenUsed/>
    <w:qFormat/>
    <w:uiPriority w:val="0"/>
    <w:rPr>
      <w:rFonts w:ascii="宋体" w:hAnsi="Courier New"/>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0"/>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 w:type="paragraph" w:customStyle="1" w:styleId="17">
    <w:name w:val="东方正文"/>
    <w:basedOn w:val="1"/>
    <w:qFormat/>
    <w:uiPriority w:val="0"/>
    <w:pPr>
      <w:spacing w:line="400" w:lineRule="exact"/>
      <w:ind w:left="284" w:right="284"/>
    </w:pPr>
  </w:style>
  <w:style w:type="character" w:customStyle="1" w:styleId="18">
    <w:name w:val="纯文本 Char"/>
    <w:link w:val="3"/>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3086</Words>
  <Characters>3233</Characters>
  <Lines>24</Lines>
  <Paragraphs>6</Paragraphs>
  <TotalTime>7</TotalTime>
  <ScaleCrop>false</ScaleCrop>
  <LinksUpToDate>false</LinksUpToDate>
  <CharactersWithSpaces>3265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2020-02-20T09:06:00Z</dcterms:created>
  <dc:creator>微软用户</dc:creator>
  <cp:lastModifiedBy>伍光华</cp:lastModifiedBy>
  <dcterms:modified xsi:type="dcterms:W3CDTF">2022-04-30T03:01:23Z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086A573CA57F4BC287864E930455703A</vt:lpwstr>
  </property>
</Properties>
</file>