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赣州市南康区明龙家具有限公司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sz w:val="20"/>
              </w:rPr>
              <w:t>23.01.01;23.01.02;23.01.04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高燕华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23.01.01;23.01.02;23.01.04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李双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/>
                <w:spacing w:val="-1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购入原木及板材→开料→订压→锣机→排钻→封边→批灰→打磨→贴纸（木皮）→底漆→油磨→面漆→</w:t>
            </w:r>
            <w:r>
              <w:rPr>
                <w:rFonts w:hint="eastAsia"/>
                <w:sz w:val="21"/>
                <w:szCs w:val="21"/>
                <w:lang w:eastAsia="zh-CN"/>
              </w:rPr>
              <w:t>组装</w:t>
            </w:r>
            <w:r>
              <w:rPr>
                <w:rFonts w:hint="eastAsia"/>
                <w:sz w:val="21"/>
                <w:szCs w:val="21"/>
              </w:rPr>
              <w:t>→成品打包验收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关键和需要确认的过程为油漆过程，执行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面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漆作业指导书》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MLJJ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/SC41—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2019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GB/T3324-2017木家具通用技术条件、客户的技术参数要求、图样，《生产作业指导书》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外形尺寸、翘曲度、平整度、邻边垂直度、位差度、分缝隙、抽屉摆动度、底脚平稳性、虫蛀材、木工要求、漆膜外观、安全性要求等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生产过程相关技术知识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29210</wp:posOffset>
                  </wp:positionV>
                  <wp:extent cx="771525" cy="598805"/>
                  <wp:effectExtent l="0" t="0" r="9525" b="10795"/>
                  <wp:wrapNone/>
                  <wp:docPr id="1" name="图片 1" descr="aa64b78b648aeb1b35e6e7bae6d8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a64b78b648aeb1b35e6e7bae6d88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9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97790</wp:posOffset>
                  </wp:positionV>
                  <wp:extent cx="752475" cy="628650"/>
                  <wp:effectExtent l="0" t="0" r="9525" b="0"/>
                  <wp:wrapNone/>
                  <wp:docPr id="3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4" w:name="_GoBack"/>
      <w:bookmarkEnd w:id="4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26A6110C"/>
    <w:rsid w:val="2BF93A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720</Words>
  <Characters>758</Characters>
  <Lines>2</Lines>
  <Paragraphs>1</Paragraphs>
  <TotalTime>2</TotalTime>
  <ScaleCrop>false</ScaleCrop>
  <LinksUpToDate>false</LinksUpToDate>
  <CharactersWithSpaces>762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2022-04-29T09:21:54Z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</Properties>
</file>