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eastAsia="宋体"/>
          <w:b/>
          <w:bCs/>
          <w:color w:val="000000" w:themeColor="text1"/>
          <w:sz w:val="21"/>
          <w:szCs w:val="21"/>
          <w:u w:val="single"/>
          <w:lang w:val="en-US" w:eastAsia="zh-CN"/>
        </w:rPr>
      </w:pPr>
      <w:r>
        <w:rPr>
          <w:rFonts w:hint="eastAsia"/>
          <w:b/>
          <w:color w:val="000000" w:themeColor="text1"/>
          <w:sz w:val="21"/>
          <w:szCs w:val="21"/>
        </w:rPr>
        <w:t>合同编号</w:t>
      </w:r>
      <w:r>
        <w:rPr>
          <w:rFonts w:hint="eastAsia"/>
          <w:b/>
          <w:color w:val="000000" w:themeColor="text1"/>
          <w:sz w:val="21"/>
          <w:szCs w:val="21"/>
          <w:lang w:val="en-US" w:eastAsia="zh-CN"/>
        </w:rPr>
        <w:t>:</w:t>
      </w:r>
      <w:bookmarkStart w:id="0" w:name="合同编号"/>
      <w:r>
        <w:rPr>
          <w:szCs w:val="44"/>
        </w:rPr>
        <w:t>0639-2019-Q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重庆鑫信宇交通工程有限公司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重庆市北部新区栖霞路18号10幢1单元6-4</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重庆市北部新区金渝大道89号4栋4-1</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91500000MA5URTC654</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023-81212299</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吴海华</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史常林</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15</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lang w:val="en-US" w:eastAsia="zh-CN"/>
        </w:rPr>
        <w:t>QMS范围：</w:t>
      </w:r>
      <w:bookmarkStart w:id="15" w:name="审核范围"/>
      <w:r>
        <w:rPr>
          <w:rFonts w:hint="eastAsia"/>
          <w:b/>
          <w:color w:val="000000" w:themeColor="text1"/>
          <w:sz w:val="22"/>
          <w:szCs w:val="22"/>
        </w:rPr>
        <w:t>环保设备、电子监控设备、护栏及配件、标识、标牌、钢结构件的销售</w:t>
      </w:r>
      <w:bookmarkEnd w:id="15"/>
    </w:p>
    <w:p>
      <w:pPr>
        <w:pStyle w:val="2"/>
        <w:spacing w:line="360" w:lineRule="exact"/>
        <w:ind w:firstLine="0"/>
        <w:rPr>
          <w:rFonts w:hint="eastAsia"/>
          <w:b/>
          <w:color w:val="000000" w:themeColor="text1"/>
          <w:sz w:val="22"/>
          <w:szCs w:val="22"/>
          <w:lang w:eastAsia="zh-CN"/>
        </w:rPr>
      </w:pPr>
      <w:bookmarkStart w:id="16" w:name="_GoBack"/>
      <w:bookmarkEnd w:id="16"/>
      <w:r>
        <w:rPr>
          <w:rFonts w:hint="eastAsia"/>
          <w:b/>
          <w:color w:val="000000" w:themeColor="text1"/>
          <w:sz w:val="22"/>
          <w:szCs w:val="22"/>
          <w:lang w:eastAsia="zh-CN"/>
        </w:rPr>
        <w:t>（英文）：</w:t>
      </w:r>
    </w:p>
    <w:p>
      <w:pPr>
        <w:pStyle w:val="2"/>
        <w:spacing w:line="360" w:lineRule="exact"/>
        <w:ind w:firstLine="0"/>
        <w:rPr>
          <w:rFonts w:hint="eastAsia"/>
          <w:b/>
          <w:color w:val="000000" w:themeColor="text1"/>
          <w:sz w:val="22"/>
          <w:szCs w:val="22"/>
          <w:lang w:eastAsia="zh-CN"/>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w:t>
      </w:r>
      <w:r>
        <w:rPr>
          <w:rFonts w:hint="eastAsia"/>
          <w:b/>
          <w:color w:val="000000" w:themeColor="text1"/>
          <w:sz w:val="22"/>
          <w:szCs w:val="22"/>
          <w:lang w:val="en-US" w:eastAsia="zh-CN"/>
        </w:rPr>
        <w:t xml:space="preserve"> </w:t>
      </w:r>
      <w:r>
        <w:rPr>
          <w:rFonts w:hint="eastAsia"/>
          <w:b/>
          <w:color w:val="000000" w:themeColor="text1"/>
          <w:sz w:val="22"/>
          <w:szCs w:val="22"/>
        </w:rPr>
        <w:t>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eastAsia="宋体"/>
          <w:b/>
          <w:color w:val="000000" w:themeColor="text1"/>
          <w:sz w:val="22"/>
          <w:szCs w:val="22"/>
          <w:lang w:val="en-US" w:eastAsia="zh-CN"/>
        </w:rPr>
      </w:pPr>
      <w:r>
        <w:rPr>
          <w:rFonts w:hint="eastAsia"/>
          <w:b/>
          <w:color w:val="000000" w:themeColor="text1"/>
          <w:sz w:val="22"/>
          <w:szCs w:val="22"/>
          <w:lang w:val="en-US" w:eastAsia="zh-CN"/>
        </w:rPr>
        <w:t xml:space="preserve"> </w:t>
      </w: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360" w:lineRule="exact"/>
        <w:ind w:firstLine="0"/>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C500EB5"/>
    <w:rsid w:val="4F80384C"/>
    <w:rsid w:val="6D9808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2019-12-12T14:10:17Z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