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exact"/>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8"/>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22"/>
        <w:gridCol w:w="998"/>
        <w:gridCol w:w="10004"/>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22" w:type="dxa"/>
            <w:vMerge w:val="restart"/>
            <w:noWrap w:val="0"/>
            <w:vAlign w:val="center"/>
          </w:tcPr>
          <w:p>
            <w:pPr>
              <w:spacing w:before="120" w:line="360" w:lineRule="auto"/>
              <w:jc w:val="center"/>
              <w:rPr>
                <w:rFonts w:hint="eastAsia" w:ascii="宋体" w:hAnsi="宋体" w:eastAsia="宋体" w:cs="宋体"/>
                <w:sz w:val="21"/>
                <w:szCs w:val="21"/>
              </w:rPr>
            </w:pPr>
            <w:r>
              <w:rPr>
                <w:rFonts w:hint="eastAsia" w:ascii="宋体" w:hAnsi="宋体" w:eastAsia="宋体" w:cs="宋体"/>
                <w:sz w:val="21"/>
                <w:szCs w:val="21"/>
              </w:rPr>
              <w:t>过程与活动、</w:t>
            </w:r>
          </w:p>
          <w:p>
            <w:pPr>
              <w:spacing w:line="360" w:lineRule="auto"/>
              <w:jc w:val="center"/>
              <w:rPr>
                <w:rFonts w:hint="eastAsia" w:ascii="宋体" w:hAnsi="宋体" w:eastAsia="宋体" w:cs="宋体"/>
                <w:sz w:val="21"/>
                <w:szCs w:val="21"/>
              </w:rPr>
            </w:pPr>
            <w:r>
              <w:rPr>
                <w:rFonts w:hint="eastAsia" w:ascii="宋体" w:hAnsi="宋体" w:eastAsia="宋体" w:cs="宋体"/>
                <w:sz w:val="21"/>
                <w:szCs w:val="21"/>
              </w:rPr>
              <w:t>抽样计划</w:t>
            </w:r>
          </w:p>
        </w:tc>
        <w:tc>
          <w:tcPr>
            <w:tcW w:w="998" w:type="dxa"/>
            <w:vMerge w:val="restart"/>
            <w:noWrap w:val="0"/>
            <w:vAlign w:val="center"/>
          </w:tcPr>
          <w:p>
            <w:pPr>
              <w:spacing w:line="360" w:lineRule="auto"/>
              <w:rPr>
                <w:rFonts w:hint="eastAsia" w:ascii="宋体" w:hAnsi="宋体" w:eastAsia="宋体" w:cs="宋体"/>
                <w:sz w:val="21"/>
                <w:szCs w:val="21"/>
              </w:rPr>
            </w:pPr>
            <w:r>
              <w:rPr>
                <w:rFonts w:hint="eastAsia" w:ascii="宋体" w:hAnsi="宋体" w:eastAsia="宋体" w:cs="宋体"/>
                <w:sz w:val="21"/>
                <w:szCs w:val="21"/>
              </w:rPr>
              <w:t>涉及</w:t>
            </w:r>
          </w:p>
          <w:p>
            <w:pPr>
              <w:spacing w:line="360" w:lineRule="auto"/>
              <w:rPr>
                <w:rFonts w:hint="eastAsia" w:ascii="宋体" w:hAnsi="宋体" w:eastAsia="宋体" w:cs="宋体"/>
                <w:sz w:val="21"/>
                <w:szCs w:val="21"/>
              </w:rPr>
            </w:pPr>
            <w:r>
              <w:rPr>
                <w:rFonts w:hint="eastAsia" w:ascii="宋体" w:hAnsi="宋体" w:eastAsia="宋体" w:cs="宋体"/>
                <w:sz w:val="21"/>
                <w:szCs w:val="21"/>
              </w:rPr>
              <w:t>条款</w:t>
            </w:r>
          </w:p>
        </w:tc>
        <w:tc>
          <w:tcPr>
            <w:tcW w:w="10004" w:type="dxa"/>
            <w:noWrap w:val="0"/>
            <w:vAlign w:val="center"/>
          </w:tcPr>
          <w:p>
            <w:pPr>
              <w:spacing w:line="360" w:lineRule="auto"/>
              <w:rPr>
                <w:rFonts w:hint="eastAsia" w:ascii="宋体" w:hAnsi="宋体" w:eastAsia="宋体" w:cs="宋体"/>
                <w:sz w:val="21"/>
                <w:szCs w:val="21"/>
                <w:lang w:val="en-US" w:eastAsia="zh-CN"/>
              </w:rPr>
            </w:pPr>
            <w:r>
              <w:rPr>
                <w:rFonts w:hint="eastAsia" w:ascii="宋体" w:hAnsi="宋体" w:eastAsia="宋体" w:cs="宋体"/>
                <w:sz w:val="21"/>
                <w:szCs w:val="21"/>
              </w:rPr>
              <w:t xml:space="preserve">受审核部门：采购部  </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 xml:space="preserve"> 主管领导：</w:t>
            </w:r>
            <w:r>
              <w:rPr>
                <w:rFonts w:hint="eastAsia" w:ascii="宋体" w:hAnsi="宋体" w:eastAsia="宋体" w:cs="宋体"/>
                <w:sz w:val="21"/>
                <w:szCs w:val="21"/>
                <w:lang w:val="en-US" w:eastAsia="zh-CN"/>
              </w:rPr>
              <w:t>陈敏</w:t>
            </w:r>
            <w:r>
              <w:rPr>
                <w:rFonts w:hint="eastAsia" w:ascii="宋体" w:hAnsi="宋体" w:eastAsia="宋体" w:cs="宋体"/>
                <w:sz w:val="21"/>
                <w:szCs w:val="21"/>
              </w:rPr>
              <w:t xml:space="preserve"> </w:t>
            </w:r>
            <w:r>
              <w:rPr>
                <w:rFonts w:hint="eastAsia" w:ascii="宋体" w:hAnsi="宋体" w:eastAsia="宋体" w:cs="宋体"/>
                <w:sz w:val="21"/>
                <w:szCs w:val="21"/>
                <w:lang w:val="en-US" w:eastAsia="zh-CN"/>
              </w:rPr>
              <w:t xml:space="preserve">      陪同：远程</w:t>
            </w:r>
          </w:p>
        </w:tc>
        <w:tc>
          <w:tcPr>
            <w:tcW w:w="1585" w:type="dxa"/>
            <w:vMerge w:val="restart"/>
            <w:noWrap w:val="0"/>
            <w:vAlign w:val="center"/>
          </w:tcPr>
          <w:p>
            <w:pPr>
              <w:spacing w:line="360" w:lineRule="auto"/>
              <w:rPr>
                <w:rFonts w:hint="eastAsia" w:ascii="宋体" w:hAnsi="宋体" w:eastAsia="宋体" w:cs="宋体"/>
                <w:sz w:val="21"/>
                <w:szCs w:val="21"/>
              </w:rPr>
            </w:pPr>
            <w:r>
              <w:rPr>
                <w:rFonts w:hint="eastAsia" w:ascii="宋体" w:hAnsi="宋体" w:eastAsia="宋体" w:cs="宋体"/>
                <w:sz w:val="21"/>
                <w:szCs w:val="21"/>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22" w:type="dxa"/>
            <w:vMerge w:val="continue"/>
            <w:noWrap w:val="0"/>
            <w:vAlign w:val="center"/>
          </w:tcPr>
          <w:p>
            <w:pPr>
              <w:spacing w:line="360" w:lineRule="auto"/>
              <w:rPr>
                <w:rFonts w:hint="eastAsia" w:ascii="宋体" w:hAnsi="宋体" w:eastAsia="宋体" w:cs="宋体"/>
                <w:sz w:val="21"/>
                <w:szCs w:val="21"/>
              </w:rPr>
            </w:pPr>
          </w:p>
        </w:tc>
        <w:tc>
          <w:tcPr>
            <w:tcW w:w="998" w:type="dxa"/>
            <w:vMerge w:val="continue"/>
            <w:noWrap w:val="0"/>
            <w:vAlign w:val="center"/>
          </w:tcPr>
          <w:p>
            <w:pPr>
              <w:spacing w:line="360" w:lineRule="auto"/>
              <w:rPr>
                <w:rFonts w:hint="eastAsia" w:ascii="宋体" w:hAnsi="宋体" w:eastAsia="宋体" w:cs="宋体"/>
                <w:sz w:val="21"/>
                <w:szCs w:val="21"/>
              </w:rPr>
            </w:pPr>
          </w:p>
        </w:tc>
        <w:tc>
          <w:tcPr>
            <w:tcW w:w="10004" w:type="dxa"/>
            <w:noWrap w:val="0"/>
            <w:vAlign w:val="center"/>
          </w:tcPr>
          <w:p>
            <w:pPr>
              <w:spacing w:before="120" w:line="360" w:lineRule="auto"/>
              <w:rPr>
                <w:rFonts w:hint="eastAsia" w:ascii="宋体" w:hAnsi="宋体" w:eastAsia="宋体" w:cs="宋体"/>
                <w:sz w:val="21"/>
                <w:szCs w:val="21"/>
                <w:lang w:val="en-US" w:eastAsia="zh-CN"/>
              </w:rPr>
            </w:pPr>
            <w:r>
              <w:rPr>
                <w:rFonts w:hint="eastAsia" w:ascii="宋体" w:hAnsi="宋体" w:eastAsia="宋体" w:cs="宋体"/>
                <w:sz w:val="21"/>
                <w:szCs w:val="21"/>
              </w:rPr>
              <w:t>审核员：</w:t>
            </w:r>
            <w:r>
              <w:rPr>
                <w:rFonts w:hint="eastAsia" w:ascii="宋体" w:hAnsi="宋体" w:eastAsia="宋体" w:cs="宋体"/>
                <w:sz w:val="21"/>
                <w:szCs w:val="21"/>
                <w:lang w:eastAsia="zh-CN"/>
              </w:rPr>
              <w:t>温红玲</w:t>
            </w:r>
            <w:r>
              <w:rPr>
                <w:rFonts w:hint="eastAsia" w:ascii="宋体" w:hAnsi="宋体" w:eastAsia="宋体" w:cs="宋体"/>
                <w:sz w:val="21"/>
                <w:szCs w:val="21"/>
              </w:rPr>
              <w:t xml:space="preserve">  审核时间：</w:t>
            </w:r>
            <w:r>
              <w:rPr>
                <w:rFonts w:hint="eastAsia" w:ascii="宋体" w:hAnsi="宋体" w:eastAsia="宋体" w:cs="宋体"/>
                <w:sz w:val="21"/>
                <w:szCs w:val="21"/>
                <w:lang w:val="en-US" w:eastAsia="zh-CN"/>
              </w:rPr>
              <w:t>2022.4.24</w:t>
            </w:r>
          </w:p>
        </w:tc>
        <w:tc>
          <w:tcPr>
            <w:tcW w:w="1585" w:type="dxa"/>
            <w:vMerge w:val="continue"/>
            <w:noWrap w:val="0"/>
            <w:vAlign w:val="top"/>
          </w:tcPr>
          <w:p>
            <w:pPr>
              <w:spacing w:line="360" w:lineRule="auto"/>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22" w:type="dxa"/>
            <w:vMerge w:val="continue"/>
            <w:noWrap w:val="0"/>
            <w:vAlign w:val="center"/>
          </w:tcPr>
          <w:p>
            <w:pPr>
              <w:spacing w:line="360" w:lineRule="auto"/>
              <w:rPr>
                <w:rFonts w:hint="eastAsia" w:ascii="宋体" w:hAnsi="宋体" w:eastAsia="宋体" w:cs="宋体"/>
                <w:sz w:val="21"/>
                <w:szCs w:val="21"/>
              </w:rPr>
            </w:pPr>
          </w:p>
        </w:tc>
        <w:tc>
          <w:tcPr>
            <w:tcW w:w="998" w:type="dxa"/>
            <w:vMerge w:val="continue"/>
            <w:noWrap w:val="0"/>
            <w:vAlign w:val="center"/>
          </w:tcPr>
          <w:p>
            <w:pPr>
              <w:spacing w:line="360" w:lineRule="auto"/>
              <w:rPr>
                <w:rFonts w:hint="eastAsia" w:ascii="宋体" w:hAnsi="宋体" w:eastAsia="宋体" w:cs="宋体"/>
                <w:sz w:val="21"/>
                <w:szCs w:val="21"/>
              </w:rPr>
            </w:pPr>
          </w:p>
        </w:tc>
        <w:tc>
          <w:tcPr>
            <w:tcW w:w="10004" w:type="dxa"/>
            <w:noWrap w:val="0"/>
            <w:vAlign w:val="center"/>
          </w:tcPr>
          <w:p>
            <w:pPr>
              <w:pStyle w:val="10"/>
              <w:spacing w:line="360" w:lineRule="auto"/>
              <w:rPr>
                <w:rFonts w:hint="eastAsia" w:ascii="宋体" w:hAnsi="宋体" w:eastAsia="宋体" w:cs="宋体"/>
                <w:sz w:val="21"/>
                <w:szCs w:val="21"/>
                <w:lang w:val="en-US" w:eastAsia="zh-CN"/>
              </w:rPr>
            </w:pPr>
            <w:r>
              <w:rPr>
                <w:rFonts w:hint="eastAsia" w:ascii="宋体" w:hAnsi="宋体" w:eastAsia="宋体" w:cs="宋体"/>
                <w:sz w:val="21"/>
                <w:szCs w:val="21"/>
              </w:rPr>
              <w:t>审核条款：</w:t>
            </w:r>
          </w:p>
          <w:p>
            <w:pPr>
              <w:pStyle w:val="10"/>
              <w:spacing w:line="360" w:lineRule="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Q：5.3组织的岗位、职责、权限；6.2质量目标及其实现的策划；7.4 沟通；8.4外部提供供方的控制；10.2不合格和纠正措施</w:t>
            </w:r>
          </w:p>
          <w:p>
            <w:pPr>
              <w:pStyle w:val="10"/>
              <w:spacing w:line="360" w:lineRule="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E：5.3组织的角色、职责和权限；6.2目标及其达成的策划；8.1运行策划和控制；8.2应急准备和响应</w:t>
            </w:r>
          </w:p>
          <w:p>
            <w:pPr>
              <w:pStyle w:val="10"/>
              <w:spacing w:line="360" w:lineRule="auto"/>
              <w:rPr>
                <w:rFonts w:hint="eastAsia" w:ascii="宋体" w:hAnsi="宋体" w:eastAsia="宋体" w:cs="宋体"/>
                <w:sz w:val="21"/>
                <w:szCs w:val="21"/>
                <w:lang w:val="en-US" w:eastAsia="zh-CN"/>
              </w:rPr>
            </w:pPr>
            <w:r>
              <w:rPr>
                <w:rFonts w:hint="eastAsia" w:ascii="宋体" w:hAnsi="宋体" w:eastAsia="宋体" w:cs="宋体"/>
                <w:color w:val="auto"/>
                <w:sz w:val="21"/>
                <w:szCs w:val="21"/>
                <w:lang w:val="en-US" w:eastAsia="zh-CN"/>
              </w:rPr>
              <w:t>O：5.3组织的角色、职责和权限；5.4 工作人员的协商和参与；6.2目标及其实现的策划；</w:t>
            </w:r>
            <w:r>
              <w:rPr>
                <w:rFonts w:hint="eastAsia" w:ascii="宋体" w:hAnsi="宋体" w:eastAsia="宋体" w:cs="宋体"/>
                <w:strike w:val="0"/>
                <w:dstrike w:val="0"/>
                <w:color w:val="auto"/>
                <w:sz w:val="21"/>
                <w:szCs w:val="21"/>
                <w:lang w:val="en-US" w:eastAsia="zh-CN"/>
              </w:rPr>
              <w:t>8.1.4采购；</w:t>
            </w:r>
            <w:r>
              <w:rPr>
                <w:rFonts w:hint="eastAsia" w:ascii="宋体" w:hAnsi="宋体" w:eastAsia="宋体" w:cs="宋体"/>
                <w:color w:val="auto"/>
                <w:sz w:val="21"/>
                <w:szCs w:val="21"/>
                <w:lang w:val="en-US" w:eastAsia="zh-CN"/>
              </w:rPr>
              <w:t>8.2应急准备和响应；</w:t>
            </w:r>
          </w:p>
        </w:tc>
        <w:tc>
          <w:tcPr>
            <w:tcW w:w="1585" w:type="dxa"/>
            <w:vMerge w:val="continue"/>
            <w:noWrap w:val="0"/>
            <w:vAlign w:val="top"/>
          </w:tcPr>
          <w:p>
            <w:pPr>
              <w:spacing w:line="360" w:lineRule="auto"/>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2" w:type="dxa"/>
            <w:noWrap w:val="0"/>
            <w:vAlign w:val="top"/>
          </w:tcPr>
          <w:p>
            <w:pPr>
              <w:spacing w:line="360" w:lineRule="auto"/>
              <w:rPr>
                <w:rFonts w:hint="eastAsia" w:ascii="宋体" w:hAnsi="宋体" w:eastAsia="宋体" w:cs="宋体"/>
                <w:sz w:val="21"/>
                <w:szCs w:val="21"/>
              </w:rPr>
            </w:pPr>
            <w:r>
              <w:rPr>
                <w:rFonts w:hint="eastAsia" w:ascii="宋体" w:hAnsi="宋体" w:eastAsia="宋体" w:cs="宋体"/>
                <w:sz w:val="21"/>
                <w:szCs w:val="21"/>
              </w:rPr>
              <w:t>组织的岗位、职责和权限</w:t>
            </w:r>
          </w:p>
          <w:p>
            <w:pPr>
              <w:spacing w:line="360" w:lineRule="auto"/>
              <w:rPr>
                <w:rFonts w:hint="eastAsia" w:ascii="宋体" w:hAnsi="宋体" w:eastAsia="宋体" w:cs="宋体"/>
                <w:sz w:val="21"/>
                <w:szCs w:val="21"/>
              </w:rPr>
            </w:pPr>
          </w:p>
        </w:tc>
        <w:tc>
          <w:tcPr>
            <w:tcW w:w="998" w:type="dxa"/>
            <w:noWrap w:val="0"/>
            <w:vAlign w:val="top"/>
          </w:tcPr>
          <w:p>
            <w:pPr>
              <w:spacing w:line="360" w:lineRule="auto"/>
              <w:rPr>
                <w:rFonts w:hint="eastAsia" w:ascii="宋体" w:hAnsi="宋体" w:eastAsia="宋体" w:cs="宋体"/>
                <w:sz w:val="21"/>
                <w:szCs w:val="21"/>
              </w:rPr>
            </w:pPr>
            <w:r>
              <w:rPr>
                <w:rFonts w:hint="eastAsia" w:ascii="宋体" w:hAnsi="宋体" w:eastAsia="宋体" w:cs="宋体"/>
                <w:sz w:val="21"/>
                <w:szCs w:val="21"/>
              </w:rPr>
              <w:t>Q</w:t>
            </w:r>
            <w:r>
              <w:rPr>
                <w:rFonts w:hint="eastAsia" w:ascii="宋体" w:hAnsi="宋体" w:eastAsia="宋体" w:cs="宋体"/>
                <w:sz w:val="21"/>
                <w:szCs w:val="21"/>
                <w:lang w:val="en-US" w:eastAsia="zh-CN"/>
              </w:rPr>
              <w:t>EO</w:t>
            </w:r>
            <w:r>
              <w:rPr>
                <w:rFonts w:hint="eastAsia" w:ascii="宋体" w:hAnsi="宋体" w:eastAsia="宋体" w:cs="宋体"/>
                <w:sz w:val="21"/>
                <w:szCs w:val="21"/>
              </w:rPr>
              <w:t>5.3</w:t>
            </w:r>
          </w:p>
        </w:tc>
        <w:tc>
          <w:tcPr>
            <w:tcW w:w="10004" w:type="dxa"/>
            <w:noWrap w:val="0"/>
            <w:vAlign w:val="center"/>
          </w:tcPr>
          <w:p>
            <w:pPr>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lang w:val="en-US" w:eastAsia="zh-CN"/>
              </w:rPr>
              <w:t>采购部</w:t>
            </w:r>
            <w:r>
              <w:rPr>
                <w:rFonts w:hint="eastAsia" w:ascii="宋体" w:hAnsi="宋体" w:eastAsia="宋体" w:cs="宋体"/>
                <w:sz w:val="21"/>
                <w:szCs w:val="21"/>
              </w:rPr>
              <w:t>按照公司领导要求，做好公司职能和岗位的具体确定，对从事与</w:t>
            </w:r>
            <w:r>
              <w:rPr>
                <w:rFonts w:hint="eastAsia" w:ascii="宋体" w:hAnsi="宋体" w:eastAsia="宋体" w:cs="宋体"/>
                <w:sz w:val="21"/>
                <w:szCs w:val="21"/>
                <w:lang w:val="en-US" w:eastAsia="zh-CN"/>
              </w:rPr>
              <w:t>采购</w:t>
            </w:r>
            <w:r>
              <w:rPr>
                <w:rFonts w:hint="eastAsia" w:ascii="宋体" w:hAnsi="宋体" w:eastAsia="宋体" w:cs="宋体"/>
                <w:sz w:val="21"/>
                <w:szCs w:val="21"/>
              </w:rPr>
              <w:t>有关的管理、执行和验证人员规定其职责、权限及其相互关系，以实现公司管理方针和管理目标。</w:t>
            </w:r>
          </w:p>
          <w:p>
            <w:pPr>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lang w:val="en-US" w:eastAsia="zh-CN"/>
              </w:rPr>
              <w:t>采购部</w:t>
            </w:r>
            <w:r>
              <w:rPr>
                <w:rFonts w:hint="eastAsia" w:ascii="宋体" w:hAnsi="宋体" w:eastAsia="宋体" w:cs="宋体"/>
                <w:sz w:val="21"/>
                <w:szCs w:val="21"/>
              </w:rPr>
              <w:t>负责人：</w:t>
            </w:r>
            <w:r>
              <w:rPr>
                <w:rFonts w:hint="eastAsia" w:ascii="宋体" w:hAnsi="宋体" w:eastAsia="宋体" w:cs="宋体"/>
                <w:sz w:val="21"/>
                <w:szCs w:val="21"/>
                <w:lang w:eastAsia="zh-CN"/>
              </w:rPr>
              <w:t>陈敏</w:t>
            </w:r>
            <w:r>
              <w:rPr>
                <w:rFonts w:hint="eastAsia" w:ascii="宋体" w:hAnsi="宋体" w:eastAsia="宋体" w:cs="宋体"/>
                <w:sz w:val="21"/>
                <w:szCs w:val="21"/>
              </w:rPr>
              <w:t>。在手册中确定了办公室部门的的职能，人员职责、权限和相互关系。</w:t>
            </w:r>
          </w:p>
          <w:p>
            <w:pPr>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1)负责各种原材料、配件及辅助材料等物资的采购供应管理、贮存、保管和发放的工作，并标识完好和对采购成本负责；</w:t>
            </w:r>
          </w:p>
          <w:p>
            <w:pPr>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2)负责管理体系中有关材料管理、供应中的责任，发现问题时要及时与有关部门联系及时进行纠正，并不断进行质量改进；</w:t>
            </w:r>
          </w:p>
          <w:p>
            <w:pPr>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3)负责各种材料的料账进出业务报表等业务；</w:t>
            </w:r>
          </w:p>
          <w:p>
            <w:pPr>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4)负责收集整理、保存、传递各种材料的有关技术、资质、质量证明等相关资料；</w:t>
            </w:r>
          </w:p>
          <w:p>
            <w:pPr>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5)负责按手册中有关规定对各种材料的初检目检和取样送检工作；</w:t>
            </w:r>
          </w:p>
          <w:p>
            <w:pPr>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6）按时采购物资以保证生产、修理等顺利进行；</w:t>
            </w:r>
          </w:p>
          <w:p>
            <w:pPr>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7）识别并控制本部门的环境因素及危险因素，落实本部门的体系目标和指标。</w:t>
            </w:r>
          </w:p>
          <w:p>
            <w:pPr>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询问</w:t>
            </w:r>
            <w:r>
              <w:rPr>
                <w:rFonts w:hint="eastAsia" w:ascii="宋体" w:hAnsi="宋体" w:eastAsia="宋体" w:cs="宋体"/>
                <w:sz w:val="21"/>
                <w:szCs w:val="21"/>
                <w:lang w:val="en-US" w:eastAsia="zh-CN"/>
              </w:rPr>
              <w:t>采购部</w:t>
            </w:r>
            <w:r>
              <w:rPr>
                <w:rFonts w:hint="eastAsia" w:ascii="宋体" w:hAnsi="宋体" w:eastAsia="宋体" w:cs="宋体"/>
                <w:sz w:val="21"/>
                <w:szCs w:val="21"/>
              </w:rPr>
              <w:t>人员，基本清楚本部门职责。</w:t>
            </w:r>
          </w:p>
          <w:p>
            <w:pPr>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现有上述管理人员配置满足要求，配有与工作相关的电脑、打/复印机、传真机等设施。</w:t>
            </w:r>
          </w:p>
        </w:tc>
        <w:tc>
          <w:tcPr>
            <w:tcW w:w="1585" w:type="dxa"/>
            <w:noWrap w:val="0"/>
            <w:vAlign w:val="top"/>
          </w:tcPr>
          <w:p>
            <w:pPr>
              <w:spacing w:line="360" w:lineRule="auto"/>
              <w:rPr>
                <w:rFonts w:hint="eastAsia" w:ascii="宋体" w:hAnsi="宋体" w:eastAsia="宋体" w:cs="宋体"/>
                <w:sz w:val="21"/>
                <w:szCs w:val="21"/>
              </w:rPr>
            </w:pPr>
            <w:r>
              <w:rPr>
                <w:rFonts w:hint="eastAsia" w:ascii="宋体" w:hAnsi="宋体" w:eastAsia="宋体" w:cs="宋体"/>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 w:hRule="atLeast"/>
        </w:trPr>
        <w:tc>
          <w:tcPr>
            <w:tcW w:w="2122" w:type="dxa"/>
            <w:noWrap w:val="0"/>
            <w:vAlign w:val="center"/>
          </w:tcPr>
          <w:p>
            <w:pPr>
              <w:spacing w:line="360" w:lineRule="auto"/>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工作人员的协商与参与</w:t>
            </w:r>
          </w:p>
        </w:tc>
        <w:tc>
          <w:tcPr>
            <w:tcW w:w="998" w:type="dxa"/>
            <w:noWrap w:val="0"/>
            <w:vAlign w:val="center"/>
          </w:tcPr>
          <w:p>
            <w:pPr>
              <w:spacing w:line="360" w:lineRule="auto"/>
              <w:jc w:val="center"/>
              <w:rPr>
                <w:rFonts w:hint="eastAsia" w:ascii="宋体" w:hAnsi="宋体" w:eastAsia="宋体" w:cs="宋体"/>
                <w:kern w:val="2"/>
                <w:sz w:val="21"/>
                <w:szCs w:val="21"/>
                <w:lang w:val="en-US" w:eastAsia="zh-CN" w:bidi="ar-SA"/>
              </w:rPr>
            </w:pPr>
            <w:r>
              <w:rPr>
                <w:rFonts w:hint="eastAsia" w:ascii="宋体" w:hAnsi="宋体" w:eastAsia="宋体" w:cs="宋体"/>
                <w:color w:val="auto"/>
                <w:spacing w:val="-6"/>
                <w:sz w:val="21"/>
                <w:szCs w:val="21"/>
                <w:lang w:val="en-US" w:eastAsia="zh-CN"/>
              </w:rPr>
              <w:t>O5.4</w:t>
            </w:r>
          </w:p>
        </w:tc>
        <w:tc>
          <w:tcPr>
            <w:tcW w:w="10004" w:type="dxa"/>
            <w:noWrap w:val="0"/>
            <w:vAlign w:val="center"/>
          </w:tcPr>
          <w:p>
            <w:pPr>
              <w:pStyle w:val="2"/>
              <w:spacing w:line="360" w:lineRule="auto"/>
              <w:ind w:firstLine="210" w:firstLineChars="10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与采购部负责人陈敏沟通，公司任命</w:t>
            </w:r>
            <w:r>
              <w:rPr>
                <w:rFonts w:hint="eastAsia" w:ascii="宋体" w:hAnsi="宋体" w:cs="宋体"/>
                <w:sz w:val="21"/>
                <w:szCs w:val="21"/>
                <w:lang w:val="en-US" w:eastAsia="zh-CN"/>
              </w:rPr>
              <w:t>蔡云、张咸</w:t>
            </w:r>
            <w:r>
              <w:rPr>
                <w:rFonts w:hint="eastAsia" w:ascii="宋体" w:hAnsi="宋体" w:eastAsia="宋体" w:cs="宋体"/>
                <w:sz w:val="21"/>
                <w:szCs w:val="21"/>
                <w:lang w:val="en-US" w:eastAsia="zh-CN"/>
              </w:rPr>
              <w:t>为员工代表，本部门配合员工代表，主要参与有：</w:t>
            </w:r>
          </w:p>
          <w:p>
            <w:pPr>
              <w:pStyle w:val="2"/>
              <w:spacing w:line="360" w:lineRule="auto"/>
              <w:ind w:firstLine="210" w:firstLineChars="100"/>
              <w:rPr>
                <w:rFonts w:hint="eastAsia" w:ascii="宋体" w:hAnsi="宋体" w:eastAsia="宋体" w:cs="宋体"/>
                <w:sz w:val="21"/>
                <w:szCs w:val="21"/>
              </w:rPr>
            </w:pPr>
            <w:r>
              <w:rPr>
                <w:rFonts w:hint="eastAsia" w:ascii="宋体" w:hAnsi="宋体" w:eastAsia="宋体" w:cs="宋体"/>
                <w:sz w:val="21"/>
                <w:szCs w:val="21"/>
              </w:rPr>
              <w:t xml:space="preserve">1)参与公司管理方针的制定、实施和评审; </w:t>
            </w:r>
          </w:p>
          <w:p>
            <w:pPr>
              <w:pStyle w:val="2"/>
              <w:spacing w:line="360" w:lineRule="auto"/>
              <w:ind w:firstLine="210" w:firstLineChars="100"/>
              <w:rPr>
                <w:rFonts w:hint="eastAsia" w:ascii="宋体" w:hAnsi="宋体" w:eastAsia="宋体" w:cs="宋体"/>
                <w:sz w:val="21"/>
                <w:szCs w:val="21"/>
              </w:rPr>
            </w:pPr>
            <w:r>
              <w:rPr>
                <w:rFonts w:hint="eastAsia" w:ascii="宋体" w:hAnsi="宋体" w:eastAsia="宋体" w:cs="宋体"/>
                <w:sz w:val="21"/>
                <w:szCs w:val="21"/>
              </w:rPr>
              <w:t xml:space="preserve">2)参与审议有关职业健康和安全的重大事宜; </w:t>
            </w:r>
          </w:p>
          <w:p>
            <w:pPr>
              <w:pStyle w:val="2"/>
              <w:spacing w:line="360" w:lineRule="auto"/>
              <w:ind w:firstLine="210" w:firstLineChars="100"/>
              <w:rPr>
                <w:rFonts w:hint="eastAsia" w:ascii="宋体" w:hAnsi="宋体" w:eastAsia="宋体" w:cs="宋体"/>
                <w:sz w:val="21"/>
                <w:szCs w:val="21"/>
              </w:rPr>
            </w:pPr>
            <w:r>
              <w:rPr>
                <w:rFonts w:hint="eastAsia" w:ascii="宋体" w:hAnsi="宋体" w:eastAsia="宋体" w:cs="宋体"/>
                <w:sz w:val="21"/>
                <w:szCs w:val="21"/>
              </w:rPr>
              <w:t xml:space="preserve">3)参与公司职业健康安全事故的统计,报告和调查处理情况的监督; </w:t>
            </w:r>
          </w:p>
          <w:p>
            <w:pPr>
              <w:pStyle w:val="2"/>
              <w:spacing w:line="360" w:lineRule="auto"/>
              <w:ind w:firstLine="210" w:firstLineChars="100"/>
              <w:rPr>
                <w:rFonts w:hint="eastAsia" w:ascii="宋体" w:hAnsi="宋体" w:eastAsia="宋体" w:cs="宋体"/>
                <w:sz w:val="21"/>
                <w:szCs w:val="21"/>
              </w:rPr>
            </w:pPr>
            <w:r>
              <w:rPr>
                <w:rFonts w:hint="eastAsia" w:ascii="宋体" w:hAnsi="宋体" w:eastAsia="宋体" w:cs="宋体"/>
                <w:sz w:val="21"/>
                <w:szCs w:val="21"/>
              </w:rPr>
              <w:t xml:space="preserve">4)对本公司劳动保护执行情况进行监督,维护员工的合法权益; </w:t>
            </w:r>
          </w:p>
          <w:p>
            <w:pPr>
              <w:pStyle w:val="2"/>
              <w:spacing w:line="360" w:lineRule="auto"/>
              <w:ind w:firstLine="210" w:firstLineChars="100"/>
              <w:rPr>
                <w:rFonts w:hint="eastAsia" w:ascii="宋体" w:hAnsi="宋体" w:eastAsia="宋体" w:cs="宋体"/>
                <w:sz w:val="21"/>
                <w:szCs w:val="21"/>
              </w:rPr>
            </w:pPr>
            <w:r>
              <w:rPr>
                <w:rFonts w:hint="eastAsia" w:ascii="宋体" w:hAnsi="宋体" w:eastAsia="宋体" w:cs="宋体"/>
                <w:sz w:val="21"/>
                <w:szCs w:val="21"/>
              </w:rPr>
              <w:t xml:space="preserve">5)对改善员工的工作条件提出建议; </w:t>
            </w:r>
          </w:p>
          <w:p>
            <w:pPr>
              <w:pStyle w:val="2"/>
              <w:spacing w:line="360" w:lineRule="auto"/>
              <w:ind w:firstLine="210" w:firstLineChars="100"/>
              <w:rPr>
                <w:rFonts w:hint="eastAsia" w:ascii="宋体" w:hAnsi="宋体" w:eastAsia="宋体" w:cs="宋体"/>
                <w:sz w:val="21"/>
                <w:szCs w:val="21"/>
              </w:rPr>
            </w:pPr>
            <w:r>
              <w:rPr>
                <w:rFonts w:hint="eastAsia" w:ascii="宋体" w:hAnsi="宋体" w:eastAsia="宋体" w:cs="宋体"/>
                <w:sz w:val="21"/>
                <w:szCs w:val="21"/>
              </w:rPr>
              <w:t>6)履行群众监督检查职责，向领导反映公司管理体系运行状况；</w:t>
            </w:r>
          </w:p>
          <w:p>
            <w:pPr>
              <w:pStyle w:val="2"/>
              <w:spacing w:line="360" w:lineRule="auto"/>
              <w:ind w:firstLine="210" w:firstLineChars="100"/>
              <w:rPr>
                <w:rFonts w:hint="eastAsia" w:ascii="宋体" w:hAnsi="宋体" w:eastAsia="宋体" w:cs="宋体"/>
                <w:sz w:val="21"/>
                <w:szCs w:val="21"/>
              </w:rPr>
            </w:pPr>
            <w:r>
              <w:rPr>
                <w:rFonts w:hint="eastAsia" w:ascii="宋体" w:hAnsi="宋体" w:eastAsia="宋体" w:cs="宋体"/>
                <w:sz w:val="21"/>
                <w:szCs w:val="21"/>
              </w:rPr>
              <w:t>7)协助管理者代表推进管理体系的有效运行。</w:t>
            </w:r>
          </w:p>
          <w:p>
            <w:pPr>
              <w:pStyle w:val="2"/>
              <w:spacing w:line="360" w:lineRule="auto"/>
              <w:ind w:firstLine="210" w:firstLineChars="100"/>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目前协商和参与渠道畅通，未发生任何对员工的建议作出回应的障碍或报复、威胁</w:t>
            </w:r>
            <w:r>
              <w:rPr>
                <w:rFonts w:hint="eastAsia" w:ascii="宋体" w:hAnsi="宋体" w:eastAsia="宋体" w:cs="宋体"/>
                <w:sz w:val="21"/>
                <w:szCs w:val="21"/>
              </w:rPr>
              <w:t>。</w:t>
            </w:r>
          </w:p>
        </w:tc>
        <w:tc>
          <w:tcPr>
            <w:tcW w:w="1585" w:type="dxa"/>
            <w:noWrap w:val="0"/>
            <w:vAlign w:val="top"/>
          </w:tcPr>
          <w:p>
            <w:pPr>
              <w:spacing w:line="360" w:lineRule="auto"/>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 w:hRule="atLeast"/>
        </w:trPr>
        <w:tc>
          <w:tcPr>
            <w:tcW w:w="2122" w:type="dxa"/>
            <w:noWrap w:val="0"/>
            <w:vAlign w:val="top"/>
          </w:tcPr>
          <w:p>
            <w:pPr>
              <w:spacing w:line="360" w:lineRule="auto"/>
              <w:rPr>
                <w:rFonts w:hint="eastAsia" w:ascii="宋体" w:hAnsi="宋体" w:eastAsia="宋体" w:cs="宋体"/>
                <w:sz w:val="21"/>
                <w:szCs w:val="21"/>
              </w:rPr>
            </w:pPr>
            <w:r>
              <w:rPr>
                <w:rFonts w:hint="eastAsia" w:ascii="宋体" w:hAnsi="宋体" w:eastAsia="宋体" w:cs="宋体"/>
                <w:sz w:val="21"/>
                <w:szCs w:val="21"/>
              </w:rPr>
              <w:t>管理目标及其实现的策划</w:t>
            </w:r>
          </w:p>
          <w:p>
            <w:pPr>
              <w:spacing w:line="360" w:lineRule="auto"/>
              <w:rPr>
                <w:rFonts w:hint="eastAsia" w:ascii="宋体" w:hAnsi="宋体" w:eastAsia="宋体" w:cs="宋体"/>
                <w:sz w:val="21"/>
                <w:szCs w:val="21"/>
              </w:rPr>
            </w:pPr>
          </w:p>
        </w:tc>
        <w:tc>
          <w:tcPr>
            <w:tcW w:w="998" w:type="dxa"/>
            <w:noWrap w:val="0"/>
            <w:vAlign w:val="top"/>
          </w:tcPr>
          <w:p>
            <w:pPr>
              <w:spacing w:line="360" w:lineRule="auto"/>
              <w:rPr>
                <w:rFonts w:hint="eastAsia" w:ascii="宋体" w:hAnsi="宋体" w:eastAsia="宋体" w:cs="宋体"/>
                <w:sz w:val="21"/>
                <w:szCs w:val="21"/>
              </w:rPr>
            </w:pPr>
            <w:r>
              <w:rPr>
                <w:rFonts w:hint="eastAsia" w:ascii="宋体" w:hAnsi="宋体" w:eastAsia="宋体" w:cs="宋体"/>
                <w:sz w:val="21"/>
                <w:szCs w:val="21"/>
              </w:rPr>
              <w:t>Q</w:t>
            </w:r>
            <w:r>
              <w:rPr>
                <w:rFonts w:hint="eastAsia" w:ascii="宋体" w:hAnsi="宋体" w:eastAsia="宋体" w:cs="宋体"/>
                <w:sz w:val="21"/>
                <w:szCs w:val="21"/>
                <w:lang w:val="en-US" w:eastAsia="zh-CN"/>
              </w:rPr>
              <w:t>EO</w:t>
            </w:r>
            <w:r>
              <w:rPr>
                <w:rFonts w:hint="eastAsia" w:ascii="宋体" w:hAnsi="宋体" w:eastAsia="宋体" w:cs="宋体"/>
                <w:sz w:val="21"/>
                <w:szCs w:val="21"/>
              </w:rPr>
              <w:t>6.2</w:t>
            </w:r>
          </w:p>
        </w:tc>
        <w:tc>
          <w:tcPr>
            <w:tcW w:w="10004" w:type="dxa"/>
            <w:noWrap w:val="0"/>
            <w:vAlign w:val="center"/>
          </w:tcPr>
          <w:p>
            <w:pPr>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公司对管理体系所需的相关职能、层次和过程设定管理目标。</w:t>
            </w:r>
          </w:p>
          <w:p>
            <w:pPr>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采购部涉及的目标及实现情况是：</w:t>
            </w:r>
          </w:p>
          <w:p>
            <w:pPr>
              <w:spacing w:line="360" w:lineRule="auto"/>
              <w:ind w:firstLine="1260" w:firstLineChars="600"/>
              <w:rPr>
                <w:rFonts w:hint="eastAsia" w:ascii="宋体" w:hAnsi="宋体" w:eastAsia="宋体" w:cs="宋体"/>
                <w:sz w:val="21"/>
                <w:szCs w:val="21"/>
              </w:rPr>
            </w:pPr>
            <w:r>
              <w:rPr>
                <w:rFonts w:hint="eastAsia" w:ascii="宋体" w:hAnsi="宋体" w:eastAsia="宋体" w:cs="宋体"/>
                <w:sz w:val="21"/>
                <w:szCs w:val="21"/>
              </w:rPr>
              <w:t>目标</w:t>
            </w:r>
            <w:r>
              <w:rPr>
                <w:rFonts w:hint="eastAsia" w:ascii="宋体" w:hAnsi="宋体" w:eastAsia="宋体" w:cs="宋体"/>
                <w:sz w:val="21"/>
                <w:szCs w:val="21"/>
              </w:rPr>
              <w:tab/>
            </w:r>
            <w:r>
              <w:rPr>
                <w:rFonts w:hint="eastAsia" w:ascii="宋体" w:hAnsi="宋体" w:eastAsia="宋体" w:cs="宋体"/>
                <w:sz w:val="21"/>
                <w:szCs w:val="21"/>
              </w:rPr>
              <w:t>考核（2022年1月-2022年3月份）</w:t>
            </w:r>
          </w:p>
          <w:p>
            <w:pPr>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ab/>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考核情况</w:t>
            </w:r>
            <w:r>
              <w:rPr>
                <w:rFonts w:hint="eastAsia" w:ascii="宋体" w:hAnsi="宋体" w:eastAsia="宋体" w:cs="宋体"/>
                <w:sz w:val="21"/>
                <w:szCs w:val="21"/>
              </w:rPr>
              <w:tab/>
            </w:r>
            <w:r>
              <w:rPr>
                <w:rFonts w:hint="eastAsia" w:ascii="宋体" w:hAnsi="宋体" w:eastAsia="宋体" w:cs="宋体"/>
                <w:sz w:val="21"/>
                <w:szCs w:val="21"/>
              </w:rPr>
              <w:t>考核时间</w:t>
            </w:r>
            <w:r>
              <w:rPr>
                <w:rFonts w:hint="eastAsia" w:ascii="宋体" w:hAnsi="宋体" w:eastAsia="宋体" w:cs="宋体"/>
                <w:sz w:val="21"/>
                <w:szCs w:val="21"/>
              </w:rPr>
              <w:tab/>
            </w:r>
            <w:r>
              <w:rPr>
                <w:rFonts w:hint="eastAsia" w:ascii="宋体" w:hAnsi="宋体" w:eastAsia="宋体" w:cs="宋体"/>
                <w:sz w:val="21"/>
                <w:szCs w:val="21"/>
              </w:rPr>
              <w:t>考核人</w:t>
            </w:r>
          </w:p>
          <w:p>
            <w:pPr>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1、供方评审率100%</w:t>
            </w:r>
            <w:r>
              <w:rPr>
                <w:rFonts w:hint="eastAsia" w:ascii="宋体" w:hAnsi="宋体" w:eastAsia="宋体" w:cs="宋体"/>
                <w:sz w:val="21"/>
                <w:szCs w:val="21"/>
              </w:rPr>
              <w:tab/>
            </w:r>
            <w:r>
              <w:rPr>
                <w:rFonts w:hint="eastAsia" w:ascii="宋体" w:hAnsi="宋体" w:eastAsia="宋体" w:cs="宋体"/>
                <w:sz w:val="21"/>
                <w:szCs w:val="21"/>
              </w:rPr>
              <w:t>100%</w:t>
            </w:r>
            <w:r>
              <w:rPr>
                <w:rFonts w:hint="eastAsia" w:ascii="宋体" w:hAnsi="宋体" w:eastAsia="宋体" w:cs="宋体"/>
                <w:sz w:val="21"/>
                <w:szCs w:val="21"/>
              </w:rPr>
              <w:tab/>
            </w:r>
            <w:r>
              <w:rPr>
                <w:rFonts w:hint="eastAsia" w:ascii="宋体" w:hAnsi="宋体" w:eastAsia="宋体" w:cs="宋体"/>
                <w:sz w:val="21"/>
                <w:szCs w:val="21"/>
              </w:rPr>
              <w:t>2022.3.30</w:t>
            </w:r>
            <w:r>
              <w:rPr>
                <w:rFonts w:hint="eastAsia" w:ascii="宋体" w:hAnsi="宋体" w:eastAsia="宋体" w:cs="宋体"/>
                <w:sz w:val="21"/>
                <w:szCs w:val="21"/>
              </w:rPr>
              <w:tab/>
            </w:r>
            <w:r>
              <w:rPr>
                <w:rFonts w:hint="eastAsia" w:ascii="宋体" w:hAnsi="宋体" w:eastAsia="宋体" w:cs="宋体"/>
                <w:sz w:val="21"/>
                <w:szCs w:val="21"/>
              </w:rPr>
              <w:t>乔沙</w:t>
            </w:r>
          </w:p>
          <w:p>
            <w:pPr>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2、产品销售率95%以上</w:t>
            </w:r>
            <w:r>
              <w:rPr>
                <w:rFonts w:hint="eastAsia" w:ascii="宋体" w:hAnsi="宋体" w:eastAsia="宋体" w:cs="宋体"/>
                <w:sz w:val="21"/>
                <w:szCs w:val="21"/>
              </w:rPr>
              <w:tab/>
            </w:r>
            <w:r>
              <w:rPr>
                <w:rFonts w:hint="eastAsia" w:ascii="宋体" w:hAnsi="宋体" w:eastAsia="宋体" w:cs="宋体"/>
                <w:sz w:val="21"/>
                <w:szCs w:val="21"/>
              </w:rPr>
              <w:t>100%</w:t>
            </w:r>
            <w:r>
              <w:rPr>
                <w:rFonts w:hint="eastAsia" w:ascii="宋体" w:hAnsi="宋体" w:eastAsia="宋体" w:cs="宋体"/>
                <w:sz w:val="21"/>
                <w:szCs w:val="21"/>
              </w:rPr>
              <w:tab/>
            </w:r>
            <w:r>
              <w:rPr>
                <w:rFonts w:hint="eastAsia" w:ascii="宋体" w:hAnsi="宋体" w:eastAsia="宋体" w:cs="宋体"/>
                <w:sz w:val="21"/>
                <w:szCs w:val="21"/>
              </w:rPr>
              <w:t>2022.3.30</w:t>
            </w:r>
            <w:r>
              <w:rPr>
                <w:rFonts w:hint="eastAsia" w:ascii="宋体" w:hAnsi="宋体" w:eastAsia="宋体" w:cs="宋体"/>
                <w:sz w:val="21"/>
                <w:szCs w:val="21"/>
              </w:rPr>
              <w:tab/>
            </w:r>
            <w:r>
              <w:rPr>
                <w:rFonts w:hint="eastAsia" w:ascii="宋体" w:hAnsi="宋体" w:eastAsia="宋体" w:cs="宋体"/>
                <w:sz w:val="21"/>
                <w:szCs w:val="21"/>
              </w:rPr>
              <w:t>乔沙</w:t>
            </w:r>
          </w:p>
          <w:p>
            <w:pPr>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3、供应计划完成率100%</w:t>
            </w:r>
            <w:r>
              <w:rPr>
                <w:rFonts w:hint="eastAsia" w:ascii="宋体" w:hAnsi="宋体" w:eastAsia="宋体" w:cs="宋体"/>
                <w:sz w:val="21"/>
                <w:szCs w:val="21"/>
              </w:rPr>
              <w:tab/>
            </w:r>
            <w:r>
              <w:rPr>
                <w:rFonts w:hint="eastAsia" w:ascii="宋体" w:hAnsi="宋体" w:eastAsia="宋体" w:cs="宋体"/>
                <w:sz w:val="21"/>
                <w:szCs w:val="21"/>
              </w:rPr>
              <w:t>100%</w:t>
            </w:r>
            <w:r>
              <w:rPr>
                <w:rFonts w:hint="eastAsia" w:ascii="宋体" w:hAnsi="宋体" w:eastAsia="宋体" w:cs="宋体"/>
                <w:sz w:val="21"/>
                <w:szCs w:val="21"/>
              </w:rPr>
              <w:tab/>
            </w:r>
            <w:r>
              <w:rPr>
                <w:rFonts w:hint="eastAsia" w:ascii="宋体" w:hAnsi="宋体" w:eastAsia="宋体" w:cs="宋体"/>
                <w:sz w:val="21"/>
                <w:szCs w:val="21"/>
              </w:rPr>
              <w:t>2022.3.30</w:t>
            </w:r>
            <w:r>
              <w:rPr>
                <w:rFonts w:hint="eastAsia" w:ascii="宋体" w:hAnsi="宋体" w:eastAsia="宋体" w:cs="宋体"/>
                <w:sz w:val="21"/>
                <w:szCs w:val="21"/>
              </w:rPr>
              <w:tab/>
            </w:r>
            <w:r>
              <w:rPr>
                <w:rFonts w:hint="eastAsia" w:ascii="宋体" w:hAnsi="宋体" w:eastAsia="宋体" w:cs="宋体"/>
                <w:sz w:val="21"/>
                <w:szCs w:val="21"/>
              </w:rPr>
              <w:t>乔沙</w:t>
            </w:r>
          </w:p>
          <w:p>
            <w:pPr>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4、按规定处置固体废弃物——固体废弃物</w:t>
            </w:r>
            <w:r>
              <w:rPr>
                <w:rFonts w:hint="eastAsia" w:ascii="宋体" w:hAnsi="宋体" w:eastAsia="宋体" w:cs="宋体"/>
                <w:sz w:val="21"/>
                <w:szCs w:val="21"/>
              </w:rPr>
              <w:tab/>
            </w:r>
            <w:r>
              <w:rPr>
                <w:rFonts w:hint="eastAsia" w:ascii="宋体" w:hAnsi="宋体" w:eastAsia="宋体" w:cs="宋体"/>
                <w:sz w:val="21"/>
                <w:szCs w:val="21"/>
              </w:rPr>
              <w:t>达标排放</w:t>
            </w:r>
            <w:r>
              <w:rPr>
                <w:rFonts w:hint="eastAsia" w:ascii="宋体" w:hAnsi="宋体" w:eastAsia="宋体" w:cs="宋体"/>
                <w:sz w:val="21"/>
                <w:szCs w:val="21"/>
              </w:rPr>
              <w:tab/>
            </w:r>
            <w:r>
              <w:rPr>
                <w:rFonts w:hint="eastAsia" w:ascii="宋体" w:hAnsi="宋体" w:eastAsia="宋体" w:cs="宋体"/>
                <w:sz w:val="21"/>
                <w:szCs w:val="21"/>
              </w:rPr>
              <w:t>2022.3.30</w:t>
            </w:r>
            <w:r>
              <w:rPr>
                <w:rFonts w:hint="eastAsia" w:ascii="宋体" w:hAnsi="宋体" w:eastAsia="宋体" w:cs="宋体"/>
                <w:sz w:val="21"/>
                <w:szCs w:val="21"/>
              </w:rPr>
              <w:tab/>
            </w:r>
            <w:r>
              <w:rPr>
                <w:rFonts w:hint="eastAsia" w:ascii="宋体" w:hAnsi="宋体" w:eastAsia="宋体" w:cs="宋体"/>
                <w:sz w:val="21"/>
                <w:szCs w:val="21"/>
              </w:rPr>
              <w:t>乔沙</w:t>
            </w:r>
          </w:p>
          <w:p>
            <w:pPr>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5、重大质量事故和安全事故为零</w:t>
            </w:r>
            <w:r>
              <w:rPr>
                <w:rFonts w:hint="eastAsia" w:ascii="宋体" w:hAnsi="宋体" w:eastAsia="宋体" w:cs="宋体"/>
                <w:sz w:val="21"/>
                <w:szCs w:val="21"/>
              </w:rPr>
              <w:tab/>
            </w:r>
            <w:r>
              <w:rPr>
                <w:rFonts w:hint="eastAsia" w:ascii="宋体" w:hAnsi="宋体" w:eastAsia="宋体" w:cs="宋体"/>
                <w:sz w:val="21"/>
                <w:szCs w:val="21"/>
              </w:rPr>
              <w:t>0</w:t>
            </w:r>
            <w:r>
              <w:rPr>
                <w:rFonts w:hint="eastAsia" w:ascii="宋体" w:hAnsi="宋体" w:eastAsia="宋体" w:cs="宋体"/>
                <w:sz w:val="21"/>
                <w:szCs w:val="21"/>
              </w:rPr>
              <w:tab/>
            </w:r>
            <w:r>
              <w:rPr>
                <w:rFonts w:hint="eastAsia" w:ascii="宋体" w:hAnsi="宋体" w:eastAsia="宋体" w:cs="宋体"/>
                <w:sz w:val="21"/>
                <w:szCs w:val="21"/>
              </w:rPr>
              <w:t>2022.3.30</w:t>
            </w:r>
            <w:r>
              <w:rPr>
                <w:rFonts w:hint="eastAsia" w:ascii="宋体" w:hAnsi="宋体" w:eastAsia="宋体" w:cs="宋体"/>
                <w:sz w:val="21"/>
                <w:szCs w:val="21"/>
              </w:rPr>
              <w:tab/>
            </w:r>
            <w:r>
              <w:rPr>
                <w:rFonts w:hint="eastAsia" w:ascii="宋体" w:hAnsi="宋体" w:eastAsia="宋体" w:cs="宋体"/>
                <w:sz w:val="21"/>
                <w:szCs w:val="21"/>
              </w:rPr>
              <w:t>乔沙</w:t>
            </w:r>
          </w:p>
          <w:p>
            <w:pPr>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目标可测量，与公司管理方针一致。有实施落实的方案， 目标均已完成。</w:t>
            </w:r>
          </w:p>
        </w:tc>
        <w:tc>
          <w:tcPr>
            <w:tcW w:w="1585" w:type="dxa"/>
            <w:noWrap w:val="0"/>
            <w:vAlign w:val="top"/>
          </w:tcPr>
          <w:p>
            <w:pPr>
              <w:spacing w:line="360" w:lineRule="auto"/>
              <w:rPr>
                <w:rFonts w:hint="eastAsia" w:ascii="宋体" w:hAnsi="宋体" w:eastAsia="宋体" w:cs="宋体"/>
                <w:sz w:val="21"/>
                <w:szCs w:val="21"/>
              </w:rPr>
            </w:pPr>
            <w:r>
              <w:rPr>
                <w:rFonts w:hint="eastAsia" w:ascii="宋体" w:hAnsi="宋体" w:eastAsia="宋体" w:cs="宋体"/>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22" w:type="dxa"/>
            <w:noWrap w:val="0"/>
            <w:vAlign w:val="center"/>
          </w:tcPr>
          <w:p>
            <w:pPr>
              <w:spacing w:line="360" w:lineRule="auto"/>
              <w:rPr>
                <w:rFonts w:hint="eastAsia" w:ascii="宋体" w:hAnsi="宋体" w:eastAsia="宋体" w:cs="宋体"/>
                <w:strike w:val="0"/>
                <w:dstrike w:val="0"/>
                <w:kern w:val="2"/>
                <w:sz w:val="21"/>
                <w:szCs w:val="21"/>
                <w:lang w:val="en-US" w:eastAsia="zh-CN" w:bidi="ar-SA"/>
              </w:rPr>
            </w:pPr>
            <w:r>
              <w:rPr>
                <w:rFonts w:hint="eastAsia" w:ascii="宋体" w:hAnsi="宋体" w:eastAsia="宋体" w:cs="宋体"/>
                <w:strike w:val="0"/>
                <w:dstrike w:val="0"/>
                <w:sz w:val="21"/>
                <w:szCs w:val="21"/>
              </w:rPr>
              <w:t>沟通、参与和协商</w:t>
            </w:r>
          </w:p>
        </w:tc>
        <w:tc>
          <w:tcPr>
            <w:tcW w:w="998" w:type="dxa"/>
            <w:noWrap w:val="0"/>
            <w:vAlign w:val="center"/>
          </w:tcPr>
          <w:p>
            <w:pPr>
              <w:spacing w:line="360" w:lineRule="auto"/>
              <w:rPr>
                <w:rFonts w:hint="eastAsia" w:ascii="宋体" w:hAnsi="宋体" w:eastAsia="宋体" w:cs="宋体"/>
                <w:strike w:val="0"/>
                <w:dstrike w:val="0"/>
                <w:sz w:val="21"/>
                <w:szCs w:val="21"/>
              </w:rPr>
            </w:pPr>
            <w:r>
              <w:rPr>
                <w:rFonts w:hint="eastAsia" w:ascii="宋体" w:hAnsi="宋体" w:eastAsia="宋体" w:cs="宋体"/>
                <w:strike w:val="0"/>
                <w:dstrike w:val="0"/>
                <w:sz w:val="21"/>
                <w:szCs w:val="21"/>
                <w:lang w:val="en-US" w:eastAsia="zh-CN"/>
              </w:rPr>
              <w:t>Q</w:t>
            </w:r>
            <w:r>
              <w:rPr>
                <w:rFonts w:hint="eastAsia" w:ascii="宋体" w:hAnsi="宋体" w:eastAsia="宋体" w:cs="宋体"/>
                <w:strike w:val="0"/>
                <w:dstrike w:val="0"/>
                <w:sz w:val="21"/>
                <w:szCs w:val="21"/>
              </w:rPr>
              <w:t>7.4</w:t>
            </w:r>
          </w:p>
          <w:p>
            <w:pPr>
              <w:pStyle w:val="10"/>
              <w:spacing w:line="360" w:lineRule="auto"/>
              <w:rPr>
                <w:rFonts w:hint="eastAsia" w:ascii="宋体" w:hAnsi="宋体" w:eastAsia="宋体" w:cs="宋体"/>
                <w:bCs/>
                <w:strike w:val="0"/>
                <w:dstrike w:val="0"/>
                <w:spacing w:val="10"/>
                <w:kern w:val="2"/>
                <w:sz w:val="21"/>
                <w:szCs w:val="21"/>
                <w:lang w:val="en-US" w:eastAsia="zh-CN" w:bidi="ar-SA"/>
              </w:rPr>
            </w:pPr>
          </w:p>
        </w:tc>
        <w:tc>
          <w:tcPr>
            <w:tcW w:w="10004" w:type="dxa"/>
            <w:noWrap w:val="0"/>
            <w:vAlign w:val="center"/>
          </w:tcPr>
          <w:p>
            <w:pPr>
              <w:spacing w:line="360" w:lineRule="auto"/>
              <w:ind w:firstLine="420" w:firstLineChars="200"/>
              <w:rPr>
                <w:rFonts w:hint="eastAsia" w:ascii="宋体" w:hAnsi="宋体" w:eastAsia="宋体" w:cs="宋体"/>
                <w:strike w:val="0"/>
                <w:dstrike w:val="0"/>
                <w:sz w:val="21"/>
                <w:szCs w:val="21"/>
              </w:rPr>
            </w:pPr>
            <w:r>
              <w:rPr>
                <w:rFonts w:hint="eastAsia" w:ascii="宋体" w:hAnsi="宋体" w:eastAsia="宋体" w:cs="宋体"/>
                <w:strike w:val="0"/>
                <w:dstrike w:val="0"/>
                <w:sz w:val="21"/>
                <w:szCs w:val="21"/>
              </w:rPr>
              <w:t>办公室建立并保持程序文件《信息交流程序》及管理手册的相关章节规定了企业内、外部沟通和员工就职业健康安全事务参与、协商的要求，经查阅和交谈符合标准要求。</w:t>
            </w:r>
          </w:p>
          <w:p>
            <w:pPr>
              <w:spacing w:line="360" w:lineRule="auto"/>
              <w:ind w:firstLine="420" w:firstLineChars="200"/>
              <w:rPr>
                <w:rFonts w:hint="eastAsia" w:ascii="宋体" w:hAnsi="宋体" w:eastAsia="宋体" w:cs="宋体"/>
                <w:strike w:val="0"/>
                <w:dstrike w:val="0"/>
                <w:sz w:val="21"/>
                <w:szCs w:val="21"/>
              </w:rPr>
            </w:pPr>
            <w:r>
              <w:rPr>
                <w:rFonts w:hint="eastAsia" w:ascii="宋体" w:hAnsi="宋体" w:eastAsia="宋体" w:cs="宋体"/>
                <w:strike w:val="0"/>
                <w:dstrike w:val="0"/>
                <w:sz w:val="21"/>
                <w:szCs w:val="21"/>
              </w:rPr>
              <w:t>总经理负责在公司建立畅通的沟通渠道。管理者代表是公司内部和外部信息交流和沟通的负责人。办公室是公司内部和外部信息交流和协商的归口部门。负责与上级主管部门及周边单位的信息交流；负责与管理体系、法律法规等有关的内部和外部信息交流；</w:t>
            </w:r>
            <w:r>
              <w:rPr>
                <w:rFonts w:hint="eastAsia" w:ascii="宋体" w:hAnsi="宋体" w:eastAsia="宋体" w:cs="宋体"/>
                <w:strike w:val="0"/>
                <w:dstrike w:val="0"/>
                <w:sz w:val="21"/>
                <w:szCs w:val="21"/>
                <w:lang w:val="en-US" w:eastAsia="zh-CN"/>
              </w:rPr>
              <w:t>采购部、销售部分别</w:t>
            </w:r>
            <w:r>
              <w:rPr>
                <w:rFonts w:hint="eastAsia" w:ascii="宋体" w:hAnsi="宋体" w:eastAsia="宋体" w:cs="宋体"/>
                <w:strike w:val="0"/>
                <w:dstrike w:val="0"/>
                <w:sz w:val="21"/>
                <w:szCs w:val="21"/>
              </w:rPr>
              <w:t>负责与采购供方、客户等相关方之间的沟通。各部门收集到有关职业健康安全方面的信息，包括法律法规等，及时向办公室反馈。销售部负责顾客要求方面的有关事宜的沟通。</w:t>
            </w:r>
          </w:p>
          <w:p>
            <w:pPr>
              <w:spacing w:line="360" w:lineRule="auto"/>
              <w:ind w:firstLine="420" w:firstLineChars="200"/>
              <w:rPr>
                <w:rFonts w:hint="eastAsia" w:ascii="宋体" w:hAnsi="宋体" w:eastAsia="宋体" w:cs="宋体"/>
                <w:strike w:val="0"/>
                <w:dstrike w:val="0"/>
                <w:kern w:val="2"/>
                <w:sz w:val="21"/>
                <w:szCs w:val="21"/>
                <w:lang w:val="en-US" w:eastAsia="zh-CN" w:bidi="ar-SA"/>
              </w:rPr>
            </w:pPr>
            <w:r>
              <w:rPr>
                <w:rFonts w:hint="eastAsia" w:ascii="宋体" w:hAnsi="宋体" w:eastAsia="宋体" w:cs="宋体"/>
                <w:strike w:val="0"/>
                <w:dstrike w:val="0"/>
                <w:sz w:val="21"/>
                <w:szCs w:val="21"/>
              </w:rPr>
              <w:t>目前各项沟通都较为及时、顺畅、效果较好。</w:t>
            </w:r>
          </w:p>
        </w:tc>
        <w:tc>
          <w:tcPr>
            <w:tcW w:w="1585" w:type="dxa"/>
            <w:noWrap w:val="0"/>
            <w:vAlign w:val="top"/>
          </w:tcPr>
          <w:p>
            <w:pPr>
              <w:spacing w:line="360"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22" w:type="dxa"/>
            <w:noWrap w:val="0"/>
            <w:vAlign w:val="top"/>
          </w:tcPr>
          <w:p>
            <w:pPr>
              <w:spacing w:line="360"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运行策划和控制</w:t>
            </w:r>
          </w:p>
          <w:p>
            <w:pPr>
              <w:spacing w:line="360" w:lineRule="auto"/>
              <w:rPr>
                <w:rFonts w:hint="eastAsia" w:ascii="宋体" w:hAnsi="宋体" w:eastAsia="宋体" w:cs="宋体"/>
                <w:kern w:val="2"/>
                <w:sz w:val="21"/>
                <w:szCs w:val="21"/>
                <w:lang w:val="en-US" w:eastAsia="zh-CN" w:bidi="ar-SA"/>
              </w:rPr>
            </w:pPr>
          </w:p>
        </w:tc>
        <w:tc>
          <w:tcPr>
            <w:tcW w:w="998" w:type="dxa"/>
            <w:noWrap w:val="0"/>
            <w:vAlign w:val="top"/>
          </w:tcPr>
          <w:p>
            <w:pPr>
              <w:spacing w:line="360"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E8.1 </w:t>
            </w:r>
          </w:p>
          <w:p>
            <w:pPr>
              <w:spacing w:line="360" w:lineRule="auto"/>
              <w:rPr>
                <w:rFonts w:hint="eastAsia" w:ascii="宋体" w:hAnsi="宋体" w:eastAsia="宋体" w:cs="宋体"/>
                <w:kern w:val="2"/>
                <w:sz w:val="21"/>
                <w:szCs w:val="21"/>
                <w:lang w:val="en-US" w:eastAsia="zh-CN" w:bidi="ar-SA"/>
              </w:rPr>
            </w:pPr>
          </w:p>
        </w:tc>
        <w:tc>
          <w:tcPr>
            <w:tcW w:w="10004" w:type="dxa"/>
            <w:noWrap w:val="0"/>
            <w:vAlign w:val="top"/>
          </w:tcPr>
          <w:p>
            <w:pPr>
              <w:spacing w:line="360" w:lineRule="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本部门应执行的运行控制文件包括：产品采购过程控制程序、环境安全运行控制程序等。</w:t>
            </w:r>
          </w:p>
          <w:p>
            <w:pPr>
              <w:spacing w:line="360" w:lineRule="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查运行控制情况：</w:t>
            </w:r>
          </w:p>
          <w:p>
            <w:pPr>
              <w:spacing w:line="360" w:lineRule="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办公过程注意节约用电，采购部做到人走灯灭，电脑长时间不用时关机，下班前要关闭电源；</w:t>
            </w:r>
          </w:p>
          <w:p>
            <w:pPr>
              <w:spacing w:line="360" w:lineRule="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 xml:space="preserve">办公过程产生的固废按办公室要求放到指定地点，现场查看无混放现象；办公用品按要求由办公室负责发放，作好记录； </w:t>
            </w:r>
          </w:p>
          <w:p>
            <w:pPr>
              <w:spacing w:line="360" w:lineRule="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工作时间平均每天不超过8小时，公司为员工办理了意外伤害等保险；</w:t>
            </w:r>
          </w:p>
          <w:p>
            <w:pPr>
              <w:spacing w:line="360" w:lineRule="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外出办公要求遵守道路交通安全法，不违章行驶，驾驶证和车辆定期年审，确保出行安全；</w:t>
            </w:r>
          </w:p>
          <w:p>
            <w:pPr>
              <w:spacing w:line="360" w:lineRule="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提供了致相关方的一封信，通过建议书告知各位来访人员公司有关安全方面应注意的事项及相关规定。有发放记录。提供相关方安全管理协议。</w:t>
            </w:r>
          </w:p>
          <w:p>
            <w:pPr>
              <w:spacing w:line="360" w:lineRule="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在与供方沟通和招投标时，通过选择适当时机向供方宣传本公司的方针理念以及本公司的具体做法、成绩等，向供方施加影响，增强供方对本公司的信任程度。</w:t>
            </w:r>
          </w:p>
          <w:p>
            <w:pPr>
              <w:pStyle w:val="2"/>
              <w:spacing w:line="360" w:lineRule="auto"/>
              <w:ind w:left="0" w:leftChars="0" w:firstLine="0" w:firstLineChars="0"/>
              <w:rPr>
                <w:rFonts w:hint="eastAsia" w:ascii="宋体" w:hAnsi="宋体" w:eastAsia="宋体" w:cs="宋体"/>
                <w:color w:val="FF0000"/>
                <w:kern w:val="2"/>
                <w:sz w:val="21"/>
                <w:szCs w:val="21"/>
                <w:lang w:val="en-US" w:eastAsia="zh-CN" w:bidi="ar-SA"/>
              </w:rPr>
            </w:pPr>
            <w:r>
              <w:rPr>
                <w:rFonts w:hint="eastAsia" w:ascii="宋体" w:hAnsi="宋体" w:eastAsia="宋体" w:cs="宋体"/>
                <w:color w:val="FF0000"/>
                <w:sz w:val="21"/>
                <w:szCs w:val="21"/>
                <w:lang w:val="en-US" w:eastAsia="zh-CN"/>
              </w:rPr>
              <w:t>查提供有《年度物资采购供方名册》，由总经理批准</w:t>
            </w:r>
            <w:r>
              <w:rPr>
                <w:rFonts w:hint="eastAsia" w:ascii="宋体" w:hAnsi="宋体" w:cs="宋体"/>
                <w:color w:val="FF0000"/>
                <w:sz w:val="21"/>
                <w:szCs w:val="21"/>
                <w:lang w:val="en-US" w:eastAsia="zh-CN"/>
              </w:rPr>
              <w:t>，但其中</w:t>
            </w:r>
            <w:r>
              <w:rPr>
                <w:rFonts w:hint="eastAsia" w:ascii="宋体" w:hAnsi="宋体" w:eastAsia="宋体" w:cs="宋体"/>
                <w:color w:val="FF0000"/>
                <w:kern w:val="2"/>
                <w:sz w:val="21"/>
                <w:szCs w:val="21"/>
                <w:lang w:val="en-US" w:eastAsia="zh-CN" w:bidi="ar-SA"/>
              </w:rPr>
              <w:t>未体现“粉煤灰供货厂家——武汉福海经济发展有限公司”</w:t>
            </w:r>
            <w:r>
              <w:rPr>
                <w:rFonts w:hint="eastAsia" w:ascii="宋体" w:hAnsi="宋体" w:cs="宋体"/>
                <w:color w:val="FF0000"/>
                <w:kern w:val="2"/>
                <w:sz w:val="21"/>
                <w:szCs w:val="21"/>
                <w:lang w:val="en-US" w:eastAsia="zh-CN" w:bidi="ar-SA"/>
              </w:rPr>
              <w:t>，</w:t>
            </w:r>
            <w:r>
              <w:rPr>
                <w:rFonts w:hint="eastAsia" w:ascii="宋体" w:hAnsi="宋体" w:eastAsia="宋体" w:cs="宋体"/>
                <w:color w:val="FF0000"/>
                <w:kern w:val="2"/>
                <w:sz w:val="21"/>
                <w:szCs w:val="21"/>
                <w:lang w:val="en-US" w:eastAsia="zh-CN" w:bidi="ar-SA"/>
              </w:rPr>
              <w:t>进一步检查对一年来该厂家供货质量业绩进行检查发现，该厂家供货业绩一直良好稳定，且企业近一年来未发生任何与该厂家供货质量相关的客户投诉。</w:t>
            </w:r>
          </w:p>
          <w:p>
            <w:pPr>
              <w:spacing w:line="360" w:lineRule="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提供“相关方环境告知书”，包括原材料供方等，提供有“告知书”发放记录。</w:t>
            </w:r>
          </w:p>
          <w:p>
            <w:pPr>
              <w:spacing w:line="360" w:lineRule="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现场办公室配置了灭火器，无火灾、触电隐患，废弃物无混放现象。</w:t>
            </w:r>
          </w:p>
        </w:tc>
        <w:tc>
          <w:tcPr>
            <w:tcW w:w="1585" w:type="dxa"/>
            <w:noWrap w:val="0"/>
            <w:vAlign w:val="top"/>
          </w:tcPr>
          <w:p>
            <w:pPr>
              <w:spacing w:line="360" w:lineRule="auto"/>
              <w:rPr>
                <w:rFonts w:hint="eastAsia" w:ascii="宋体" w:hAnsi="宋体" w:eastAsia="宋体" w:cs="宋体"/>
                <w:kern w:val="2"/>
                <w:sz w:val="21"/>
                <w:szCs w:val="21"/>
                <w:lang w:val="en-US" w:eastAsia="zh-CN" w:bidi="ar-SA"/>
              </w:rPr>
            </w:pPr>
            <w:r>
              <w:rPr>
                <w:rFonts w:hint="eastAsia" w:ascii="宋体" w:hAnsi="宋体" w:cs="宋体"/>
                <w:color w:val="FF0000"/>
                <w:sz w:val="21"/>
                <w:szCs w:val="21"/>
                <w:lang w:val="en-US" w:eastAsia="zh-CN"/>
              </w:rPr>
              <w:t>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9" w:hRule="atLeast"/>
        </w:trPr>
        <w:tc>
          <w:tcPr>
            <w:tcW w:w="2122" w:type="dxa"/>
            <w:noWrap w:val="0"/>
            <w:vAlign w:val="center"/>
          </w:tcPr>
          <w:p>
            <w:pPr>
              <w:spacing w:line="360" w:lineRule="auto"/>
              <w:rPr>
                <w:rFonts w:hint="eastAsia" w:ascii="宋体" w:hAnsi="宋体" w:eastAsia="宋体" w:cs="宋体"/>
                <w:b/>
                <w:kern w:val="2"/>
                <w:sz w:val="21"/>
                <w:szCs w:val="21"/>
                <w:lang w:val="en-US" w:eastAsia="zh-CN" w:bidi="ar-SA"/>
              </w:rPr>
            </w:pPr>
            <w:r>
              <w:rPr>
                <w:rFonts w:hint="eastAsia" w:ascii="宋体" w:hAnsi="宋体" w:eastAsia="宋体" w:cs="宋体"/>
                <w:sz w:val="21"/>
                <w:szCs w:val="21"/>
              </w:rPr>
              <w:t>应急准备和响应</w:t>
            </w:r>
          </w:p>
        </w:tc>
        <w:tc>
          <w:tcPr>
            <w:tcW w:w="998" w:type="dxa"/>
            <w:noWrap w:val="0"/>
            <w:vAlign w:val="center"/>
          </w:tcPr>
          <w:p>
            <w:pPr>
              <w:spacing w:line="360" w:lineRule="auto"/>
              <w:rPr>
                <w:rFonts w:hint="eastAsia" w:ascii="宋体" w:hAnsi="宋体" w:eastAsia="宋体" w:cs="宋体"/>
                <w:sz w:val="21"/>
                <w:szCs w:val="21"/>
              </w:rPr>
            </w:pPr>
            <w:r>
              <w:rPr>
                <w:rFonts w:hint="eastAsia" w:ascii="宋体" w:hAnsi="宋体" w:eastAsia="宋体" w:cs="宋体"/>
                <w:sz w:val="21"/>
                <w:szCs w:val="21"/>
              </w:rPr>
              <w:t>EO8.2</w:t>
            </w:r>
          </w:p>
          <w:p>
            <w:pPr>
              <w:spacing w:line="360" w:lineRule="auto"/>
              <w:rPr>
                <w:rFonts w:hint="eastAsia" w:ascii="宋体" w:hAnsi="宋体" w:eastAsia="宋体" w:cs="宋体"/>
                <w:kern w:val="2"/>
                <w:sz w:val="21"/>
                <w:szCs w:val="21"/>
                <w:lang w:val="en-US" w:eastAsia="zh-CN" w:bidi="ar-SA"/>
              </w:rPr>
            </w:pPr>
          </w:p>
        </w:tc>
        <w:tc>
          <w:tcPr>
            <w:tcW w:w="10004" w:type="dxa"/>
            <w:noWrap w:val="0"/>
            <w:vAlign w:val="center"/>
          </w:tcPr>
          <w:p>
            <w:pPr>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lang w:val="en-US" w:eastAsia="zh-CN"/>
              </w:rPr>
              <w:t>采购部</w:t>
            </w:r>
            <w:r>
              <w:rPr>
                <w:rFonts w:hint="eastAsia" w:ascii="宋体" w:hAnsi="宋体" w:eastAsia="宋体" w:cs="宋体"/>
                <w:sz w:val="21"/>
                <w:szCs w:val="21"/>
              </w:rPr>
              <w:t>按照策划的《应急准备和响应控制程序》、《事故应急处置预案》等，明确了相应的运行准则。</w:t>
            </w:r>
          </w:p>
          <w:p>
            <w:pPr>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lang w:val="en-US" w:eastAsia="zh-CN"/>
              </w:rPr>
              <w:t>办公</w:t>
            </w:r>
            <w:r>
              <w:rPr>
                <w:rFonts w:hint="eastAsia" w:ascii="宋体" w:hAnsi="宋体" w:eastAsia="宋体" w:cs="宋体"/>
                <w:sz w:val="21"/>
                <w:szCs w:val="21"/>
              </w:rPr>
              <w:t>过程中加强用电安全，防止触电事故和火灾事故的发生，安装了漏电保护器。</w:t>
            </w:r>
          </w:p>
          <w:p>
            <w:pPr>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 xml:space="preserve">现场查看车间门口灭火器在有效期内。  </w:t>
            </w:r>
          </w:p>
          <w:p>
            <w:pPr>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生产场所有“禁止吸烟”，“小心触电” 等环保、安全警示标识。</w:t>
            </w:r>
          </w:p>
          <w:p>
            <w:pPr>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配有急救药箱，箱内有创可贴、消毒酒精、碘伏、棉棒等。</w:t>
            </w:r>
          </w:p>
          <w:p>
            <w:pPr>
              <w:spacing w:line="360" w:lineRule="auto"/>
              <w:ind w:firstLine="420" w:firstLineChars="200"/>
              <w:rPr>
                <w:rFonts w:hint="eastAsia" w:ascii="宋体" w:hAnsi="宋体" w:eastAsia="宋体" w:cs="宋体"/>
                <w:color w:val="FF0000"/>
                <w:sz w:val="21"/>
                <w:szCs w:val="21"/>
              </w:rPr>
            </w:pPr>
            <w:r>
              <w:rPr>
                <w:rFonts w:hint="eastAsia" w:ascii="宋体" w:hAnsi="宋体" w:eastAsia="宋体" w:cs="宋体"/>
                <w:color w:val="auto"/>
                <w:sz w:val="21"/>
                <w:szCs w:val="21"/>
              </w:rPr>
              <w:t>查</w:t>
            </w:r>
            <w:r>
              <w:rPr>
                <w:rFonts w:hint="eastAsia" w:ascii="宋体" w:hAnsi="宋体" w:cs="宋体"/>
                <w:color w:val="auto"/>
                <w:sz w:val="21"/>
                <w:szCs w:val="21"/>
                <w:lang w:val="en-US" w:eastAsia="zh-CN"/>
              </w:rPr>
              <w:t>2022</w:t>
            </w:r>
            <w:r>
              <w:rPr>
                <w:rFonts w:hint="eastAsia" w:ascii="宋体" w:hAnsi="宋体" w:eastAsia="宋体" w:cs="宋体"/>
                <w:color w:val="auto"/>
                <w:sz w:val="21"/>
                <w:szCs w:val="21"/>
              </w:rPr>
              <w:t>年</w:t>
            </w:r>
            <w:r>
              <w:rPr>
                <w:rFonts w:hint="eastAsia" w:ascii="宋体" w:hAnsi="宋体" w:cs="宋体"/>
                <w:color w:val="auto"/>
                <w:sz w:val="21"/>
                <w:szCs w:val="21"/>
                <w:lang w:val="en-US" w:eastAsia="zh-CN"/>
              </w:rPr>
              <w:t>4</w:t>
            </w:r>
            <w:r>
              <w:rPr>
                <w:rFonts w:hint="eastAsia" w:ascii="宋体" w:hAnsi="宋体" w:eastAsia="宋体" w:cs="宋体"/>
                <w:color w:val="auto"/>
                <w:sz w:val="21"/>
                <w:szCs w:val="21"/>
              </w:rPr>
              <w:t>月</w:t>
            </w:r>
            <w:r>
              <w:rPr>
                <w:rFonts w:hint="eastAsia" w:ascii="宋体" w:hAnsi="宋体" w:cs="宋体"/>
                <w:color w:val="auto"/>
                <w:sz w:val="21"/>
                <w:szCs w:val="21"/>
                <w:lang w:val="en-US" w:eastAsia="zh-CN"/>
              </w:rPr>
              <w:t>18</w:t>
            </w:r>
            <w:r>
              <w:rPr>
                <w:rFonts w:hint="eastAsia" w:ascii="宋体" w:hAnsi="宋体" w:eastAsia="宋体" w:cs="宋体"/>
                <w:color w:val="auto"/>
                <w:sz w:val="21"/>
                <w:szCs w:val="21"/>
              </w:rPr>
              <w:t>日参加了</w:t>
            </w:r>
            <w:r>
              <w:rPr>
                <w:rFonts w:hint="eastAsia" w:ascii="宋体" w:hAnsi="宋体" w:cs="宋体"/>
                <w:color w:val="auto"/>
                <w:sz w:val="21"/>
                <w:szCs w:val="21"/>
                <w:lang w:val="en-US" w:eastAsia="zh-CN"/>
              </w:rPr>
              <w:t>办公室</w:t>
            </w:r>
            <w:r>
              <w:rPr>
                <w:rFonts w:hint="eastAsia" w:ascii="宋体" w:hAnsi="宋体" w:eastAsia="宋体" w:cs="宋体"/>
                <w:color w:val="auto"/>
                <w:sz w:val="21"/>
                <w:szCs w:val="21"/>
              </w:rPr>
              <w:t>组织的火灾预案演练，提供了相关记录。</w:t>
            </w:r>
          </w:p>
          <w:p>
            <w:pPr>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 xml:space="preserve"> 2022年1月20日为提高安全人员的素质，达到检验应急求援小组的目的，使之做到一声令下迅速到位投入战斗，特在1号仓进行了一次模拟高空坠落演习。</w:t>
            </w:r>
          </w:p>
          <w:p>
            <w:pPr>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应急准备和响应实施方案具有可操作性，应急求援人员已基本掌握该方案，能够应付突发事件。</w:t>
            </w:r>
          </w:p>
          <w:p>
            <w:pPr>
              <w:spacing w:line="360" w:lineRule="auto"/>
              <w:ind w:firstLine="420" w:firstLineChars="200"/>
              <w:rPr>
                <w:rFonts w:hint="eastAsia" w:ascii="宋体" w:hAnsi="宋体" w:eastAsia="宋体" w:cs="宋体"/>
                <w:kern w:val="2"/>
                <w:sz w:val="21"/>
                <w:szCs w:val="21"/>
                <w:lang w:val="en-US" w:eastAsia="zh-CN" w:bidi="ar-SA"/>
              </w:rPr>
            </w:pPr>
            <w:r>
              <w:rPr>
                <w:rFonts w:hint="eastAsia" w:ascii="宋体" w:hAnsi="宋体" w:eastAsia="宋体" w:cs="宋体"/>
                <w:sz w:val="21"/>
                <w:szCs w:val="21"/>
              </w:rPr>
              <w:t>自体系运行以来未出现应急事故情况。</w:t>
            </w:r>
          </w:p>
        </w:tc>
        <w:tc>
          <w:tcPr>
            <w:tcW w:w="1585" w:type="dxa"/>
            <w:noWrap w:val="0"/>
            <w:vAlign w:val="top"/>
          </w:tcPr>
          <w:p>
            <w:pPr>
              <w:spacing w:line="360" w:lineRule="auto"/>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2122" w:type="dxa"/>
            <w:noWrap w:val="0"/>
            <w:vAlign w:val="top"/>
          </w:tcPr>
          <w:p>
            <w:pPr>
              <w:spacing w:line="360" w:lineRule="auto"/>
              <w:rPr>
                <w:rFonts w:hint="eastAsia" w:ascii="宋体" w:hAnsi="宋体" w:eastAsia="宋体" w:cs="宋体"/>
                <w:sz w:val="21"/>
                <w:szCs w:val="21"/>
              </w:rPr>
            </w:pPr>
            <w:r>
              <w:rPr>
                <w:rFonts w:hint="eastAsia" w:ascii="宋体" w:hAnsi="宋体" w:eastAsia="宋体" w:cs="宋体"/>
                <w:color w:val="auto"/>
                <w:spacing w:val="-6"/>
                <w:kern w:val="2"/>
                <w:sz w:val="21"/>
                <w:szCs w:val="21"/>
                <w:lang w:val="en-US" w:eastAsia="zh-CN" w:bidi="ar-SA"/>
              </w:rPr>
              <w:t>采购</w:t>
            </w:r>
          </w:p>
          <w:p>
            <w:pPr>
              <w:spacing w:line="360" w:lineRule="auto"/>
              <w:rPr>
                <w:rFonts w:hint="eastAsia" w:ascii="宋体" w:hAnsi="宋体" w:eastAsia="宋体" w:cs="宋体"/>
                <w:color w:val="000000"/>
                <w:kern w:val="0"/>
                <w:sz w:val="21"/>
                <w:szCs w:val="21"/>
              </w:rPr>
            </w:pPr>
            <w:r>
              <w:rPr>
                <w:rFonts w:hint="eastAsia" w:ascii="宋体" w:hAnsi="宋体" w:eastAsia="宋体" w:cs="宋体"/>
                <w:sz w:val="21"/>
                <w:szCs w:val="21"/>
              </w:rPr>
              <w:t>外部提供的过程、产品和服务的控制</w:t>
            </w:r>
          </w:p>
        </w:tc>
        <w:tc>
          <w:tcPr>
            <w:tcW w:w="998" w:type="dxa"/>
            <w:noWrap w:val="0"/>
            <w:vAlign w:val="top"/>
          </w:tcPr>
          <w:p>
            <w:pPr>
              <w:spacing w:line="360" w:lineRule="auto"/>
              <w:rPr>
                <w:rFonts w:hint="eastAsia" w:ascii="宋体" w:hAnsi="宋体" w:eastAsia="宋体" w:cs="宋体"/>
                <w:sz w:val="21"/>
                <w:szCs w:val="21"/>
              </w:rPr>
            </w:pPr>
            <w:r>
              <w:rPr>
                <w:rFonts w:hint="eastAsia" w:ascii="宋体" w:hAnsi="宋体" w:eastAsia="宋体" w:cs="宋体"/>
                <w:color w:val="auto"/>
                <w:spacing w:val="-6"/>
                <w:sz w:val="21"/>
                <w:szCs w:val="21"/>
                <w:lang w:val="en-US" w:eastAsia="zh-CN"/>
              </w:rPr>
              <w:t>O8.1.4</w:t>
            </w:r>
          </w:p>
          <w:p>
            <w:pPr>
              <w:spacing w:line="360" w:lineRule="auto"/>
              <w:rPr>
                <w:rFonts w:hint="eastAsia" w:ascii="宋体" w:hAnsi="宋体" w:eastAsia="宋体" w:cs="宋体"/>
                <w:sz w:val="21"/>
                <w:szCs w:val="21"/>
              </w:rPr>
            </w:pPr>
            <w:r>
              <w:rPr>
                <w:rFonts w:hint="eastAsia" w:ascii="宋体" w:hAnsi="宋体" w:eastAsia="宋体" w:cs="宋体"/>
                <w:sz w:val="21"/>
                <w:szCs w:val="21"/>
              </w:rPr>
              <w:t>Q8.4</w:t>
            </w:r>
          </w:p>
        </w:tc>
        <w:tc>
          <w:tcPr>
            <w:tcW w:w="10004" w:type="dxa"/>
            <w:noWrap w:val="0"/>
            <w:vAlign w:val="center"/>
          </w:tcPr>
          <w:p>
            <w:pPr>
              <w:adjustRightInd w:val="0"/>
              <w:snapToGrid w:val="0"/>
              <w:spacing w:line="360" w:lineRule="auto"/>
              <w:ind w:right="105" w:rightChars="50" w:firstLine="420" w:firstLineChars="200"/>
              <w:textAlignment w:val="baseline"/>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公司编制有HBJT-CX-2020-12《采购控制程序》，对由外部提供的产品、过程或服务进行控制，确保其符合要求。</w:t>
            </w:r>
          </w:p>
          <w:p>
            <w:pPr>
              <w:adjustRightInd w:val="0"/>
              <w:snapToGrid w:val="0"/>
              <w:spacing w:line="360" w:lineRule="auto"/>
              <w:ind w:right="105" w:rightChars="50" w:firstLine="420" w:firstLineChars="200"/>
              <w:textAlignment w:val="baseline"/>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查见“供方调查评价表”，抽见对以下厂家或供应商进行了调查评价:</w:t>
            </w:r>
          </w:p>
          <w:p>
            <w:pPr>
              <w:adjustRightInd w:val="0"/>
              <w:snapToGrid w:val="0"/>
              <w:spacing w:line="360" w:lineRule="auto"/>
              <w:ind w:right="105" w:rightChars="50" w:firstLine="420" w:firstLineChars="200"/>
              <w:textAlignment w:val="baseline"/>
              <w:rPr>
                <w:rFonts w:hint="eastAsia" w:ascii="宋体" w:hAnsi="宋体" w:eastAsia="宋体" w:cs="宋体"/>
                <w:color w:val="auto"/>
                <w:sz w:val="21"/>
                <w:szCs w:val="21"/>
                <w:lang w:val="en-US" w:eastAsia="zh-CN"/>
              </w:rPr>
            </w:pPr>
            <w:r>
              <w:rPr>
                <w:rFonts w:hint="eastAsia" w:ascii="宋体" w:hAnsi="宋体" w:cs="宋体"/>
                <w:color w:val="auto"/>
                <w:sz w:val="21"/>
                <w:szCs w:val="21"/>
                <w:lang w:val="en-US" w:eastAsia="zh-CN"/>
              </w:rPr>
              <w:t>湖北驰盛建材有限公司</w:t>
            </w:r>
            <w:r>
              <w:rPr>
                <w:rFonts w:hint="eastAsia" w:ascii="宋体" w:hAnsi="宋体" w:eastAsia="宋体" w:cs="宋体"/>
                <w:color w:val="auto"/>
                <w:sz w:val="21"/>
                <w:szCs w:val="21"/>
                <w:lang w:val="en-US" w:eastAsia="zh-CN"/>
              </w:rPr>
              <w:tab/>
            </w:r>
            <w:r>
              <w:rPr>
                <w:rFonts w:hint="eastAsia" w:ascii="宋体" w:hAnsi="宋体" w:eastAsia="宋体" w:cs="宋体"/>
                <w:color w:val="auto"/>
                <w:sz w:val="21"/>
                <w:szCs w:val="21"/>
                <w:lang w:val="en-US" w:eastAsia="zh-CN"/>
              </w:rPr>
              <w:t xml:space="preserve">               </w:t>
            </w:r>
            <w:r>
              <w:rPr>
                <w:rFonts w:hint="eastAsia" w:ascii="宋体" w:hAnsi="宋体" w:cs="宋体"/>
                <w:color w:val="auto"/>
                <w:sz w:val="21"/>
                <w:szCs w:val="21"/>
                <w:lang w:val="en-US" w:eastAsia="zh-CN"/>
              </w:rPr>
              <w:t>尖峰水泥</w:t>
            </w:r>
          </w:p>
          <w:p>
            <w:pPr>
              <w:adjustRightInd w:val="0"/>
              <w:snapToGrid w:val="0"/>
              <w:spacing w:line="360" w:lineRule="auto"/>
              <w:ind w:right="105" w:rightChars="50" w:firstLine="420" w:firstLineChars="200"/>
              <w:textAlignment w:val="baseline"/>
              <w:rPr>
                <w:rFonts w:hint="eastAsia" w:ascii="宋体" w:hAnsi="宋体" w:eastAsia="宋体" w:cs="宋体"/>
                <w:color w:val="auto"/>
                <w:sz w:val="21"/>
                <w:szCs w:val="21"/>
                <w:lang w:val="en-US" w:eastAsia="zh-CN"/>
              </w:rPr>
            </w:pPr>
            <w:r>
              <w:rPr>
                <w:rFonts w:hint="eastAsia" w:ascii="宋体" w:hAnsi="宋体" w:cs="宋体"/>
                <w:color w:val="auto"/>
                <w:sz w:val="21"/>
                <w:szCs w:val="21"/>
                <w:lang w:val="en-US" w:eastAsia="zh-CN"/>
              </w:rPr>
              <w:t>武汉福海经济发展有限公司</w:t>
            </w:r>
            <w:r>
              <w:rPr>
                <w:rFonts w:hint="eastAsia" w:ascii="宋体" w:hAnsi="宋体" w:eastAsia="宋体" w:cs="宋体"/>
                <w:color w:val="auto"/>
                <w:sz w:val="21"/>
                <w:szCs w:val="21"/>
                <w:lang w:val="en-US" w:eastAsia="zh-CN"/>
              </w:rPr>
              <w:tab/>
            </w:r>
            <w:r>
              <w:rPr>
                <w:rFonts w:hint="eastAsia" w:ascii="宋体" w:hAnsi="宋体" w:eastAsia="宋体" w:cs="宋体"/>
                <w:color w:val="auto"/>
                <w:sz w:val="21"/>
                <w:szCs w:val="21"/>
                <w:lang w:val="en-US" w:eastAsia="zh-CN"/>
              </w:rPr>
              <w:t xml:space="preserve">         </w:t>
            </w:r>
            <w:r>
              <w:rPr>
                <w:rFonts w:hint="eastAsia" w:ascii="宋体" w:hAnsi="宋体" w:cs="宋体"/>
                <w:color w:val="auto"/>
                <w:sz w:val="21"/>
                <w:szCs w:val="21"/>
                <w:lang w:val="en-US" w:eastAsia="zh-CN"/>
              </w:rPr>
              <w:t xml:space="preserve"> </w:t>
            </w:r>
            <w:r>
              <w:rPr>
                <w:rFonts w:hint="eastAsia" w:ascii="宋体" w:hAnsi="宋体" w:eastAsia="宋体" w:cs="宋体"/>
                <w:color w:val="auto"/>
                <w:sz w:val="21"/>
                <w:szCs w:val="21"/>
                <w:lang w:val="en-US" w:eastAsia="zh-CN"/>
              </w:rPr>
              <w:t xml:space="preserve"> 粉煤灰</w:t>
            </w:r>
          </w:p>
          <w:p>
            <w:pPr>
              <w:adjustRightInd w:val="0"/>
              <w:snapToGrid w:val="0"/>
              <w:spacing w:line="360" w:lineRule="auto"/>
              <w:ind w:right="105" w:rightChars="50" w:firstLine="420" w:firstLineChars="200"/>
              <w:textAlignment w:val="baseline"/>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武汉兴永聚建材有限公司</w:t>
            </w:r>
            <w:r>
              <w:rPr>
                <w:rFonts w:hint="eastAsia" w:ascii="宋体" w:hAnsi="宋体" w:eastAsia="宋体" w:cs="宋体"/>
                <w:color w:val="auto"/>
                <w:sz w:val="21"/>
                <w:szCs w:val="21"/>
                <w:highlight w:val="none"/>
                <w:lang w:val="en-US" w:eastAsia="zh-CN"/>
              </w:rPr>
              <w:t xml:space="preserve">  </w:t>
            </w:r>
            <w:r>
              <w:rPr>
                <w:rFonts w:hint="eastAsia" w:ascii="宋体" w:hAnsi="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lang w:val="en-US" w:eastAsia="zh-CN"/>
              </w:rPr>
              <w:t>石</w:t>
            </w:r>
            <w:r>
              <w:rPr>
                <w:rFonts w:hint="eastAsia" w:ascii="宋体" w:hAnsi="宋体" w:cs="宋体"/>
                <w:color w:val="auto"/>
                <w:sz w:val="21"/>
                <w:szCs w:val="21"/>
                <w:highlight w:val="none"/>
                <w:lang w:val="en-US" w:eastAsia="zh-CN"/>
              </w:rPr>
              <w:t>料</w:t>
            </w:r>
          </w:p>
          <w:p>
            <w:pPr>
              <w:adjustRightInd w:val="0"/>
              <w:snapToGrid w:val="0"/>
              <w:spacing w:line="360" w:lineRule="auto"/>
              <w:ind w:right="105" w:rightChars="50" w:firstLine="420" w:firstLineChars="200"/>
              <w:textAlignment w:val="baseline"/>
              <w:rPr>
                <w:rFonts w:hint="default" w:ascii="宋体" w:hAnsi="宋体" w:cs="宋体"/>
                <w:color w:val="auto"/>
                <w:sz w:val="21"/>
                <w:szCs w:val="21"/>
                <w:lang w:val="en-US" w:eastAsia="zh-CN"/>
              </w:rPr>
            </w:pPr>
            <w:r>
              <w:rPr>
                <w:rFonts w:hint="eastAsia" w:ascii="宋体" w:hAnsi="宋体" w:cs="宋体"/>
                <w:color w:val="auto"/>
                <w:sz w:val="21"/>
                <w:szCs w:val="21"/>
                <w:lang w:val="en-US" w:eastAsia="zh-CN"/>
              </w:rPr>
              <w:t>武汉</w:t>
            </w:r>
            <w:r>
              <w:rPr>
                <w:rFonts w:hint="eastAsia" w:ascii="宋体" w:hAnsi="宋体" w:cs="宋体"/>
                <w:color w:val="auto"/>
                <w:sz w:val="21"/>
                <w:szCs w:val="21"/>
                <w:lang w:eastAsia="zh-CN"/>
              </w:rPr>
              <w:t>梓歆潼瑞</w:t>
            </w:r>
            <w:r>
              <w:rPr>
                <w:rFonts w:hint="eastAsia" w:ascii="宋体" w:hAnsi="宋体" w:cs="宋体"/>
                <w:color w:val="auto"/>
                <w:sz w:val="21"/>
                <w:szCs w:val="21"/>
                <w:lang w:val="en-US" w:eastAsia="zh-CN"/>
              </w:rPr>
              <w:t xml:space="preserve">建设工程有限公司           </w:t>
            </w:r>
            <w:r>
              <w:rPr>
                <w:rFonts w:hint="eastAsia" w:ascii="宋体" w:hAnsi="宋体" w:eastAsia="宋体" w:cs="宋体"/>
                <w:color w:val="auto"/>
                <w:sz w:val="21"/>
                <w:szCs w:val="21"/>
                <w:highlight w:val="none"/>
                <w:lang w:val="en-US" w:eastAsia="zh-CN"/>
              </w:rPr>
              <w:t>砂</w:t>
            </w:r>
            <w:r>
              <w:rPr>
                <w:rFonts w:hint="eastAsia" w:ascii="宋体" w:hAnsi="宋体" w:cs="宋体"/>
                <w:color w:val="auto"/>
                <w:sz w:val="21"/>
                <w:szCs w:val="21"/>
                <w:highlight w:val="none"/>
                <w:lang w:val="en-US" w:eastAsia="zh-CN"/>
              </w:rPr>
              <w:t>料</w:t>
            </w:r>
          </w:p>
          <w:p>
            <w:pPr>
              <w:adjustRightInd w:val="0"/>
              <w:snapToGrid w:val="0"/>
              <w:spacing w:line="360" w:lineRule="auto"/>
              <w:ind w:right="105" w:rightChars="50" w:firstLine="420" w:firstLineChars="200"/>
              <w:textAlignment w:val="baseline"/>
              <w:rPr>
                <w:rFonts w:hint="eastAsia" w:ascii="宋体" w:hAnsi="宋体" w:eastAsia="宋体" w:cs="宋体"/>
                <w:color w:val="auto"/>
                <w:sz w:val="21"/>
                <w:szCs w:val="21"/>
                <w:lang w:val="en-US" w:eastAsia="zh-CN"/>
              </w:rPr>
            </w:pPr>
            <w:r>
              <w:rPr>
                <w:rFonts w:hint="eastAsia" w:ascii="宋体" w:hAnsi="宋体" w:cs="宋体"/>
                <w:color w:val="auto"/>
                <w:sz w:val="21"/>
                <w:szCs w:val="21"/>
                <w:lang w:eastAsia="zh-CN"/>
              </w:rPr>
              <w:t>武汉仲良诚建材股份有限公司</w:t>
            </w:r>
            <w:r>
              <w:rPr>
                <w:rFonts w:hint="eastAsia" w:ascii="宋体" w:hAnsi="宋体" w:eastAsia="宋体" w:cs="宋体"/>
                <w:color w:val="auto"/>
                <w:sz w:val="21"/>
                <w:szCs w:val="21"/>
              </w:rPr>
              <w:tab/>
            </w:r>
            <w:r>
              <w:rPr>
                <w:rFonts w:hint="eastAsia" w:ascii="宋体" w:hAnsi="宋体" w:eastAsia="宋体" w:cs="宋体"/>
                <w:color w:val="auto"/>
                <w:sz w:val="21"/>
                <w:szCs w:val="21"/>
                <w:lang w:val="en-US" w:eastAsia="zh-CN"/>
              </w:rPr>
              <w:t xml:space="preserve">    </w:t>
            </w:r>
            <w:r>
              <w:rPr>
                <w:rFonts w:hint="eastAsia" w:ascii="宋体" w:hAnsi="宋体" w:cs="宋体"/>
                <w:color w:val="auto"/>
                <w:sz w:val="21"/>
                <w:szCs w:val="21"/>
                <w:lang w:val="en-US" w:eastAsia="zh-CN"/>
              </w:rPr>
              <w:t xml:space="preserve">    </w:t>
            </w:r>
            <w:r>
              <w:rPr>
                <w:rFonts w:hint="eastAsia" w:ascii="宋体" w:hAnsi="宋体" w:eastAsia="宋体" w:cs="宋体"/>
                <w:color w:val="auto"/>
                <w:sz w:val="21"/>
                <w:szCs w:val="21"/>
                <w:lang w:val="en-US" w:eastAsia="zh-CN"/>
              </w:rPr>
              <w:t xml:space="preserve">   </w:t>
            </w:r>
            <w:r>
              <w:rPr>
                <w:rFonts w:hint="eastAsia" w:ascii="宋体" w:hAnsi="宋体" w:cs="宋体"/>
                <w:color w:val="auto"/>
                <w:sz w:val="21"/>
                <w:szCs w:val="21"/>
                <w:lang w:val="en-US" w:eastAsia="zh-CN"/>
              </w:rPr>
              <w:t>武新矿粉</w:t>
            </w:r>
          </w:p>
          <w:p>
            <w:pPr>
              <w:adjustRightInd w:val="0"/>
              <w:snapToGrid w:val="0"/>
              <w:spacing w:line="360" w:lineRule="auto"/>
              <w:ind w:right="105" w:rightChars="50" w:firstLine="420" w:firstLineChars="200"/>
              <w:textAlignment w:val="baseline"/>
              <w:rPr>
                <w:rFonts w:hint="eastAsia" w:ascii="宋体" w:hAnsi="宋体" w:eastAsia="宋体" w:cs="宋体"/>
                <w:color w:val="auto"/>
                <w:sz w:val="21"/>
                <w:szCs w:val="21"/>
                <w:lang w:val="en-US" w:eastAsia="zh-CN"/>
              </w:rPr>
            </w:pPr>
            <w:r>
              <w:rPr>
                <w:rFonts w:hint="eastAsia" w:ascii="宋体" w:hAnsi="宋体" w:cs="宋体"/>
                <w:color w:val="auto"/>
                <w:sz w:val="21"/>
                <w:szCs w:val="21"/>
                <w:lang w:val="en-US" w:eastAsia="zh-CN"/>
              </w:rPr>
              <w:t>科之杰新材料集团有限公司</w:t>
            </w:r>
            <w:r>
              <w:rPr>
                <w:rFonts w:hint="eastAsia" w:ascii="宋体" w:hAnsi="宋体" w:eastAsia="宋体" w:cs="宋体"/>
                <w:color w:val="auto"/>
                <w:sz w:val="21"/>
                <w:szCs w:val="21"/>
                <w:lang w:val="en-US" w:eastAsia="zh-CN"/>
              </w:rPr>
              <w:t xml:space="preserve">             </w:t>
            </w:r>
            <w:r>
              <w:rPr>
                <w:rFonts w:hint="eastAsia" w:ascii="宋体" w:hAnsi="宋体" w:cs="宋体"/>
                <w:color w:val="auto"/>
                <w:sz w:val="21"/>
                <w:szCs w:val="21"/>
                <w:lang w:val="en-US" w:eastAsia="zh-CN"/>
              </w:rPr>
              <w:t xml:space="preserve"> </w:t>
            </w:r>
            <w:r>
              <w:rPr>
                <w:rFonts w:hint="eastAsia" w:ascii="宋体" w:hAnsi="宋体" w:eastAsia="宋体" w:cs="宋体"/>
                <w:color w:val="auto"/>
                <w:sz w:val="21"/>
                <w:szCs w:val="21"/>
                <w:lang w:val="en-US" w:eastAsia="zh-CN"/>
              </w:rPr>
              <w:t xml:space="preserve"> 减水剂</w:t>
            </w:r>
          </w:p>
          <w:p>
            <w:pPr>
              <w:adjustRightInd w:val="0"/>
              <w:snapToGrid w:val="0"/>
              <w:spacing w:line="360" w:lineRule="auto"/>
              <w:ind w:right="105" w:rightChars="50" w:firstLine="420" w:firstLineChars="200"/>
              <w:textAlignment w:val="baseline"/>
              <w:rPr>
                <w:rFonts w:hint="eastAsia" w:ascii="宋体" w:hAnsi="宋体" w:eastAsia="宋体" w:cs="宋体"/>
                <w:color w:val="FF0000"/>
                <w:sz w:val="21"/>
                <w:szCs w:val="21"/>
                <w:lang w:val="en-US" w:eastAsia="zh-CN"/>
              </w:rPr>
            </w:pPr>
          </w:p>
          <w:p>
            <w:pPr>
              <w:adjustRightInd w:val="0"/>
              <w:snapToGrid w:val="0"/>
              <w:spacing w:line="360" w:lineRule="auto"/>
              <w:ind w:right="105" w:rightChars="50" w:firstLine="420" w:firstLineChars="200"/>
              <w:textAlignment w:val="baseline"/>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评审内容：经营资格、供应能力、质量状况、价格、服务等方面，有主管部门意见，批准意见为同意继续合作。</w:t>
            </w:r>
          </w:p>
          <w:p>
            <w:pPr>
              <w:adjustRightInd w:val="0"/>
              <w:snapToGrid w:val="0"/>
              <w:spacing w:line="360" w:lineRule="auto"/>
              <w:ind w:right="105" w:rightChars="50" w:firstLine="420" w:firstLineChars="200"/>
              <w:textAlignment w:val="baseline"/>
              <w:rPr>
                <w:rFonts w:hint="eastAsia" w:ascii="宋体" w:hAnsi="宋体" w:cs="宋体"/>
                <w:color w:val="FF0000"/>
                <w:sz w:val="21"/>
                <w:szCs w:val="21"/>
                <w:lang w:val="en-US" w:eastAsia="zh-CN"/>
              </w:rPr>
            </w:pPr>
            <w:r>
              <w:rPr>
                <w:rFonts w:hint="eastAsia" w:ascii="宋体" w:hAnsi="宋体" w:eastAsia="宋体" w:cs="宋体"/>
                <w:color w:val="FF0000"/>
                <w:sz w:val="21"/>
                <w:szCs w:val="21"/>
                <w:lang w:val="en-US" w:eastAsia="zh-CN"/>
              </w:rPr>
              <w:t>查提供有《年度物资采购供方名册》，由总经理批准</w:t>
            </w:r>
            <w:r>
              <w:rPr>
                <w:rFonts w:hint="eastAsia" w:ascii="宋体" w:hAnsi="宋体" w:cs="宋体"/>
                <w:color w:val="FF0000"/>
                <w:sz w:val="21"/>
                <w:szCs w:val="21"/>
                <w:lang w:val="en-US" w:eastAsia="zh-CN"/>
              </w:rPr>
              <w:t>，但其中未体现“粉煤灰供货厂家——</w:t>
            </w:r>
            <w:bookmarkStart w:id="0" w:name="_GoBack"/>
            <w:bookmarkEnd w:id="0"/>
            <w:r>
              <w:rPr>
                <w:rFonts w:hint="eastAsia" w:ascii="宋体" w:hAnsi="宋体" w:cs="宋体"/>
                <w:color w:val="FF0000"/>
                <w:sz w:val="21"/>
                <w:szCs w:val="21"/>
                <w:lang w:val="en-US" w:eastAsia="zh-CN"/>
              </w:rPr>
              <w:t>武汉福海经济发展有限公司”,进一步检查对一年来该厂家供货质量业绩进行检查发现，该厂家供货业绩一直良好稳定，且企业近一年来未发生任何与该厂家供货质量相关的客户投诉。</w:t>
            </w:r>
          </w:p>
          <w:p>
            <w:pPr>
              <w:adjustRightInd w:val="0"/>
              <w:snapToGrid w:val="0"/>
              <w:spacing w:line="360" w:lineRule="auto"/>
              <w:ind w:right="105" w:rightChars="50" w:firstLine="420" w:firstLineChars="200"/>
              <w:textAlignment w:val="baseline"/>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查采购合同，抽见：</w:t>
            </w:r>
          </w:p>
          <w:p>
            <w:pPr>
              <w:pStyle w:val="2"/>
              <w:rPr>
                <w:rFonts w:hint="default"/>
                <w:b/>
                <w:bCs/>
                <w:lang w:val="en-US" w:eastAsia="zh-CN"/>
              </w:rPr>
            </w:pPr>
            <w:r>
              <w:rPr>
                <w:rFonts w:hint="eastAsia" w:ascii="宋体" w:hAnsi="宋体" w:cs="宋体"/>
                <w:color w:val="auto"/>
                <w:sz w:val="21"/>
                <w:szCs w:val="21"/>
                <w:lang w:val="en-US" w:eastAsia="zh-CN"/>
              </w:rPr>
              <w:t xml:space="preserve">    </w:t>
            </w:r>
            <w:r>
              <w:rPr>
                <w:rFonts w:hint="eastAsia" w:ascii="宋体" w:hAnsi="宋体" w:cs="宋体"/>
                <w:b/>
                <w:bCs/>
                <w:color w:val="auto"/>
                <w:sz w:val="21"/>
                <w:szCs w:val="21"/>
                <w:lang w:val="en-US" w:eastAsia="zh-CN"/>
              </w:rPr>
              <w:t xml:space="preserve"> 供方名称                             原料名称   签订日期/有效期</w:t>
            </w:r>
          </w:p>
          <w:p>
            <w:pPr>
              <w:adjustRightInd w:val="0"/>
              <w:snapToGrid w:val="0"/>
              <w:spacing w:line="360" w:lineRule="auto"/>
              <w:ind w:right="105" w:rightChars="50" w:firstLine="420" w:firstLineChars="200"/>
              <w:textAlignment w:val="baseline"/>
              <w:rPr>
                <w:rFonts w:hint="default" w:ascii="宋体" w:hAnsi="宋体" w:eastAsia="宋体" w:cs="宋体"/>
                <w:color w:val="auto"/>
                <w:sz w:val="21"/>
                <w:szCs w:val="21"/>
                <w:lang w:val="en-US" w:eastAsia="zh-CN"/>
              </w:rPr>
            </w:pPr>
            <w:r>
              <w:rPr>
                <w:rFonts w:hint="eastAsia" w:ascii="宋体" w:hAnsi="宋体" w:cs="宋体"/>
                <w:color w:val="auto"/>
                <w:sz w:val="21"/>
                <w:szCs w:val="21"/>
                <w:lang w:val="en-US" w:eastAsia="zh-CN"/>
              </w:rPr>
              <w:t>湖北驰盛建材有限公司</w:t>
            </w:r>
            <w:r>
              <w:rPr>
                <w:rFonts w:hint="eastAsia" w:ascii="宋体" w:hAnsi="宋体" w:eastAsia="宋体" w:cs="宋体"/>
                <w:color w:val="auto"/>
                <w:sz w:val="21"/>
                <w:szCs w:val="21"/>
                <w:lang w:val="en-US" w:eastAsia="zh-CN"/>
              </w:rPr>
              <w:tab/>
            </w:r>
            <w:r>
              <w:rPr>
                <w:rFonts w:hint="eastAsia" w:ascii="宋体" w:hAnsi="宋体" w:eastAsia="宋体" w:cs="宋体"/>
                <w:color w:val="auto"/>
                <w:sz w:val="21"/>
                <w:szCs w:val="21"/>
                <w:lang w:val="en-US" w:eastAsia="zh-CN"/>
              </w:rPr>
              <w:t xml:space="preserve">               </w:t>
            </w:r>
            <w:r>
              <w:rPr>
                <w:rFonts w:hint="eastAsia" w:ascii="宋体" w:hAnsi="宋体" w:cs="宋体"/>
                <w:color w:val="auto"/>
                <w:sz w:val="21"/>
                <w:szCs w:val="21"/>
                <w:lang w:val="en-US" w:eastAsia="zh-CN"/>
              </w:rPr>
              <w:t xml:space="preserve"> 尖峰水泥</w:t>
            </w:r>
            <w:r>
              <w:rPr>
                <w:rFonts w:hint="eastAsia" w:ascii="宋体" w:hAnsi="宋体" w:eastAsia="宋体" w:cs="宋体"/>
                <w:color w:val="auto"/>
                <w:sz w:val="21"/>
                <w:szCs w:val="21"/>
                <w:lang w:val="en-US" w:eastAsia="zh-CN"/>
              </w:rPr>
              <w:t>---</w:t>
            </w:r>
            <w:r>
              <w:rPr>
                <w:rFonts w:hint="eastAsia" w:ascii="宋体" w:hAnsi="宋体" w:cs="宋体"/>
                <w:color w:val="auto"/>
                <w:sz w:val="21"/>
                <w:szCs w:val="21"/>
                <w:lang w:val="en-US" w:eastAsia="zh-CN"/>
              </w:rPr>
              <w:t>2021.1.20～2022.12.31</w:t>
            </w:r>
          </w:p>
          <w:p>
            <w:pPr>
              <w:adjustRightInd w:val="0"/>
              <w:snapToGrid w:val="0"/>
              <w:spacing w:line="360" w:lineRule="auto"/>
              <w:ind w:right="105" w:rightChars="50" w:firstLine="420" w:firstLineChars="200"/>
              <w:textAlignment w:val="baseline"/>
              <w:rPr>
                <w:rFonts w:hint="default" w:ascii="宋体" w:hAnsi="宋体" w:eastAsia="宋体" w:cs="宋体"/>
                <w:color w:val="auto"/>
                <w:sz w:val="21"/>
                <w:szCs w:val="21"/>
                <w:lang w:val="en-US" w:eastAsia="zh-CN"/>
              </w:rPr>
            </w:pPr>
            <w:r>
              <w:rPr>
                <w:rFonts w:hint="eastAsia" w:ascii="宋体" w:hAnsi="宋体" w:cs="宋体"/>
                <w:color w:val="auto"/>
                <w:sz w:val="21"/>
                <w:szCs w:val="21"/>
                <w:lang w:val="en-US" w:eastAsia="zh-CN"/>
              </w:rPr>
              <w:t>武汉福海经济发展有限公司</w:t>
            </w:r>
            <w:r>
              <w:rPr>
                <w:rFonts w:hint="eastAsia" w:ascii="宋体" w:hAnsi="宋体" w:eastAsia="宋体" w:cs="宋体"/>
                <w:color w:val="auto"/>
                <w:sz w:val="21"/>
                <w:szCs w:val="21"/>
                <w:lang w:val="en-US" w:eastAsia="zh-CN"/>
              </w:rPr>
              <w:tab/>
            </w:r>
            <w:r>
              <w:rPr>
                <w:rFonts w:hint="eastAsia" w:ascii="宋体" w:hAnsi="宋体" w:eastAsia="宋体" w:cs="宋体"/>
                <w:color w:val="auto"/>
                <w:sz w:val="21"/>
                <w:szCs w:val="21"/>
                <w:lang w:val="en-US" w:eastAsia="zh-CN"/>
              </w:rPr>
              <w:t xml:space="preserve">          </w:t>
            </w:r>
            <w:r>
              <w:rPr>
                <w:rFonts w:hint="eastAsia" w:ascii="宋体" w:hAnsi="宋体" w:cs="宋体"/>
                <w:color w:val="auto"/>
                <w:sz w:val="21"/>
                <w:szCs w:val="21"/>
                <w:lang w:val="en-US" w:eastAsia="zh-CN"/>
              </w:rPr>
              <w:t xml:space="preserve"> </w:t>
            </w:r>
            <w:r>
              <w:rPr>
                <w:rFonts w:hint="eastAsia" w:ascii="宋体" w:hAnsi="宋体" w:eastAsia="宋体" w:cs="宋体"/>
                <w:color w:val="auto"/>
                <w:sz w:val="21"/>
                <w:szCs w:val="21"/>
                <w:lang w:val="en-US" w:eastAsia="zh-CN"/>
              </w:rPr>
              <w:t xml:space="preserve"> 粉煤灰--</w:t>
            </w:r>
            <w:r>
              <w:rPr>
                <w:rFonts w:hint="eastAsia" w:ascii="宋体" w:hAnsi="宋体" w:cs="宋体"/>
                <w:color w:val="auto"/>
                <w:sz w:val="21"/>
                <w:szCs w:val="21"/>
                <w:lang w:val="en-US" w:eastAsia="zh-CN"/>
              </w:rPr>
              <w:t>2022.1.5</w:t>
            </w:r>
          </w:p>
          <w:p>
            <w:pPr>
              <w:adjustRightInd w:val="0"/>
              <w:snapToGrid w:val="0"/>
              <w:spacing w:line="360" w:lineRule="auto"/>
              <w:ind w:right="105" w:rightChars="50" w:firstLine="420" w:firstLineChars="200"/>
              <w:textAlignment w:val="baseline"/>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武汉兴永聚建材有限公司</w:t>
            </w:r>
            <w:r>
              <w:rPr>
                <w:rFonts w:hint="eastAsia" w:ascii="宋体" w:hAnsi="宋体" w:eastAsia="宋体" w:cs="宋体"/>
                <w:color w:val="auto"/>
                <w:sz w:val="21"/>
                <w:szCs w:val="21"/>
                <w:highlight w:val="none"/>
                <w:lang w:val="en-US" w:eastAsia="zh-CN"/>
              </w:rPr>
              <w:t xml:space="preserve">  </w:t>
            </w:r>
            <w:r>
              <w:rPr>
                <w:rFonts w:hint="eastAsia" w:ascii="宋体" w:hAnsi="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lang w:val="en-US" w:eastAsia="zh-CN"/>
              </w:rPr>
              <w:t>石</w:t>
            </w:r>
            <w:r>
              <w:rPr>
                <w:rFonts w:hint="eastAsia" w:ascii="宋体" w:hAnsi="宋体" w:cs="宋体"/>
                <w:color w:val="auto"/>
                <w:sz w:val="21"/>
                <w:szCs w:val="21"/>
                <w:highlight w:val="none"/>
                <w:lang w:val="en-US" w:eastAsia="zh-CN"/>
              </w:rPr>
              <w:t>料</w:t>
            </w:r>
            <w:r>
              <w:rPr>
                <w:rFonts w:hint="eastAsia" w:ascii="宋体" w:hAnsi="宋体" w:eastAsia="宋体" w:cs="宋体"/>
                <w:color w:val="auto"/>
                <w:sz w:val="21"/>
                <w:szCs w:val="21"/>
                <w:highlight w:val="none"/>
                <w:lang w:val="en-US" w:eastAsia="zh-CN"/>
              </w:rPr>
              <w:t>--</w:t>
            </w:r>
            <w:r>
              <w:rPr>
                <w:rFonts w:hint="eastAsia" w:ascii="宋体" w:hAnsi="宋体" w:cs="宋体"/>
                <w:color w:val="auto"/>
                <w:sz w:val="21"/>
                <w:szCs w:val="21"/>
                <w:highlight w:val="none"/>
                <w:lang w:val="en-US" w:eastAsia="zh-CN"/>
              </w:rPr>
              <w:t>2020.1.5～2023.1.5</w:t>
            </w:r>
          </w:p>
          <w:p>
            <w:pPr>
              <w:adjustRightInd w:val="0"/>
              <w:snapToGrid w:val="0"/>
              <w:spacing w:line="360" w:lineRule="auto"/>
              <w:ind w:right="105" w:rightChars="50" w:firstLine="420" w:firstLineChars="200"/>
              <w:textAlignment w:val="baseline"/>
              <w:rPr>
                <w:rFonts w:hint="default" w:ascii="宋体" w:hAnsi="宋体" w:cs="宋体"/>
                <w:color w:val="auto"/>
                <w:sz w:val="21"/>
                <w:szCs w:val="21"/>
                <w:lang w:val="en-US" w:eastAsia="zh-CN"/>
              </w:rPr>
            </w:pPr>
            <w:r>
              <w:rPr>
                <w:rFonts w:hint="eastAsia" w:ascii="宋体" w:hAnsi="宋体" w:cs="宋体"/>
                <w:color w:val="auto"/>
                <w:sz w:val="21"/>
                <w:szCs w:val="21"/>
                <w:lang w:val="en-US" w:eastAsia="zh-CN"/>
              </w:rPr>
              <w:t>武汉</w:t>
            </w:r>
            <w:r>
              <w:rPr>
                <w:rFonts w:hint="eastAsia" w:ascii="宋体" w:hAnsi="宋体" w:cs="宋体"/>
                <w:color w:val="auto"/>
                <w:sz w:val="21"/>
                <w:szCs w:val="21"/>
                <w:lang w:eastAsia="zh-CN"/>
              </w:rPr>
              <w:t>梓歆潼瑞</w:t>
            </w:r>
            <w:r>
              <w:rPr>
                <w:rFonts w:hint="eastAsia" w:ascii="宋体" w:hAnsi="宋体" w:cs="宋体"/>
                <w:color w:val="auto"/>
                <w:sz w:val="21"/>
                <w:szCs w:val="21"/>
                <w:lang w:val="en-US" w:eastAsia="zh-CN"/>
              </w:rPr>
              <w:t xml:space="preserve">建设工程有限公司            </w:t>
            </w:r>
            <w:r>
              <w:rPr>
                <w:rFonts w:hint="eastAsia" w:ascii="宋体" w:hAnsi="宋体" w:eastAsia="宋体" w:cs="宋体"/>
                <w:color w:val="auto"/>
                <w:sz w:val="21"/>
                <w:szCs w:val="21"/>
                <w:highlight w:val="none"/>
                <w:lang w:val="en-US" w:eastAsia="zh-CN"/>
              </w:rPr>
              <w:t>砂</w:t>
            </w:r>
            <w:r>
              <w:rPr>
                <w:rFonts w:hint="eastAsia" w:ascii="宋体" w:hAnsi="宋体" w:cs="宋体"/>
                <w:color w:val="auto"/>
                <w:sz w:val="21"/>
                <w:szCs w:val="21"/>
                <w:highlight w:val="none"/>
                <w:lang w:val="en-US" w:eastAsia="zh-CN"/>
              </w:rPr>
              <w:t>料</w:t>
            </w:r>
            <w:r>
              <w:rPr>
                <w:rFonts w:hint="eastAsia" w:ascii="宋体" w:hAnsi="宋体" w:eastAsia="宋体" w:cs="宋体"/>
                <w:color w:val="auto"/>
                <w:sz w:val="21"/>
                <w:szCs w:val="21"/>
                <w:highlight w:val="none"/>
                <w:lang w:val="en-US" w:eastAsia="zh-CN"/>
              </w:rPr>
              <w:t>--</w:t>
            </w:r>
            <w:r>
              <w:rPr>
                <w:rFonts w:hint="eastAsia" w:ascii="宋体" w:hAnsi="宋体" w:cs="宋体"/>
                <w:color w:val="auto"/>
                <w:sz w:val="21"/>
                <w:szCs w:val="21"/>
                <w:highlight w:val="none"/>
                <w:lang w:val="en-US" w:eastAsia="zh-CN"/>
              </w:rPr>
              <w:t>2021.4.22～2023.4.22</w:t>
            </w:r>
          </w:p>
          <w:p>
            <w:pPr>
              <w:adjustRightInd w:val="0"/>
              <w:snapToGrid w:val="0"/>
              <w:spacing w:line="360" w:lineRule="auto"/>
              <w:ind w:right="105" w:rightChars="50" w:firstLine="420" w:firstLineChars="200"/>
              <w:textAlignment w:val="baseline"/>
              <w:rPr>
                <w:rFonts w:hint="default" w:ascii="宋体" w:hAnsi="宋体" w:eastAsia="宋体" w:cs="宋体"/>
                <w:color w:val="auto"/>
                <w:sz w:val="21"/>
                <w:szCs w:val="21"/>
                <w:lang w:val="en-US" w:eastAsia="zh-CN"/>
              </w:rPr>
            </w:pPr>
            <w:r>
              <w:rPr>
                <w:rFonts w:hint="eastAsia" w:ascii="宋体" w:hAnsi="宋体" w:cs="宋体"/>
                <w:color w:val="auto"/>
                <w:sz w:val="21"/>
                <w:szCs w:val="21"/>
                <w:lang w:eastAsia="zh-CN"/>
              </w:rPr>
              <w:t>武汉仲良诚建材股份有限公司</w:t>
            </w:r>
            <w:r>
              <w:rPr>
                <w:rFonts w:hint="eastAsia" w:ascii="宋体" w:hAnsi="宋体" w:cs="宋体"/>
                <w:color w:val="auto"/>
                <w:sz w:val="21"/>
                <w:szCs w:val="21"/>
                <w:lang w:val="en-US" w:eastAsia="zh-CN"/>
              </w:rPr>
              <w:t xml:space="preserve">          </w:t>
            </w:r>
            <w:r>
              <w:rPr>
                <w:rFonts w:hint="eastAsia" w:ascii="宋体" w:hAnsi="宋体" w:eastAsia="宋体" w:cs="宋体"/>
                <w:color w:val="auto"/>
                <w:sz w:val="21"/>
                <w:szCs w:val="21"/>
                <w:lang w:val="en-US" w:eastAsia="zh-CN"/>
              </w:rPr>
              <w:t xml:space="preserve">    </w:t>
            </w:r>
            <w:r>
              <w:rPr>
                <w:rFonts w:hint="eastAsia" w:ascii="宋体" w:hAnsi="宋体" w:cs="宋体"/>
                <w:color w:val="auto"/>
                <w:sz w:val="21"/>
                <w:szCs w:val="21"/>
                <w:lang w:val="en-US" w:eastAsia="zh-CN"/>
              </w:rPr>
              <w:t>武新矿粉</w:t>
            </w:r>
            <w:r>
              <w:rPr>
                <w:rFonts w:hint="eastAsia" w:ascii="宋体" w:hAnsi="宋体" w:eastAsia="宋体" w:cs="宋体"/>
                <w:color w:val="auto"/>
                <w:sz w:val="21"/>
                <w:szCs w:val="21"/>
                <w:lang w:val="en-US" w:eastAsia="zh-CN"/>
              </w:rPr>
              <w:t>--</w:t>
            </w:r>
            <w:r>
              <w:rPr>
                <w:rFonts w:hint="eastAsia" w:ascii="宋体" w:hAnsi="宋体" w:cs="宋体"/>
                <w:color w:val="auto"/>
                <w:sz w:val="21"/>
                <w:szCs w:val="21"/>
                <w:lang w:val="en-US" w:eastAsia="zh-CN"/>
              </w:rPr>
              <w:t>2022.1.1～2024.12.31</w:t>
            </w:r>
          </w:p>
          <w:p>
            <w:pPr>
              <w:adjustRightInd w:val="0"/>
              <w:snapToGrid w:val="0"/>
              <w:spacing w:line="360" w:lineRule="auto"/>
              <w:ind w:right="105" w:rightChars="50" w:firstLine="420" w:firstLineChars="200"/>
              <w:textAlignment w:val="baseline"/>
              <w:rPr>
                <w:rFonts w:hint="default" w:ascii="宋体" w:hAnsi="宋体" w:eastAsia="宋体" w:cs="宋体"/>
                <w:color w:val="auto"/>
                <w:sz w:val="21"/>
                <w:szCs w:val="21"/>
                <w:lang w:val="en-US" w:eastAsia="zh-CN"/>
              </w:rPr>
            </w:pPr>
            <w:r>
              <w:rPr>
                <w:rFonts w:hint="eastAsia" w:ascii="宋体" w:hAnsi="宋体" w:cs="宋体"/>
                <w:color w:val="auto"/>
                <w:sz w:val="21"/>
                <w:szCs w:val="21"/>
                <w:lang w:val="en-US" w:eastAsia="zh-CN"/>
              </w:rPr>
              <w:t>科之杰新材料集团有限公司</w:t>
            </w:r>
            <w:r>
              <w:rPr>
                <w:rFonts w:hint="eastAsia" w:ascii="宋体" w:hAnsi="宋体" w:eastAsia="宋体" w:cs="宋体"/>
                <w:color w:val="auto"/>
                <w:sz w:val="21"/>
                <w:szCs w:val="21"/>
                <w:lang w:val="en-US" w:eastAsia="zh-CN"/>
              </w:rPr>
              <w:t xml:space="preserve">                减水剂--</w:t>
            </w:r>
            <w:r>
              <w:rPr>
                <w:rFonts w:hint="eastAsia" w:ascii="宋体" w:hAnsi="宋体" w:cs="宋体"/>
                <w:color w:val="auto"/>
                <w:sz w:val="21"/>
                <w:szCs w:val="21"/>
                <w:lang w:val="en-US" w:eastAsia="zh-CN"/>
              </w:rPr>
              <w:t>2021.10.11</w:t>
            </w:r>
          </w:p>
          <w:p>
            <w:pPr>
              <w:adjustRightInd w:val="0"/>
              <w:snapToGrid w:val="0"/>
              <w:spacing w:line="360" w:lineRule="auto"/>
              <w:ind w:right="105" w:rightChars="50" w:firstLine="420" w:firstLineChars="200"/>
              <w:textAlignment w:val="baseline"/>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以上合同明确了产品名称、商标、型号、数量、金额、质量技术标准、运输、包装、验收、结算等；以上供方均在合格供方名录；介绍说，合同签订之前公司对合同进行评审，确定的要求是充分和适宜的，有采购合同的评审记录。</w:t>
            </w:r>
          </w:p>
          <w:p>
            <w:pPr>
              <w:pStyle w:val="10"/>
              <w:spacing w:line="360" w:lineRule="auto"/>
              <w:ind w:firstLine="420"/>
              <w:rPr>
                <w:rFonts w:hint="eastAsia" w:ascii="宋体" w:hAnsi="宋体" w:cs="宋体"/>
                <w:bCs w:val="0"/>
                <w:color w:val="auto"/>
                <w:spacing w:val="0"/>
                <w:sz w:val="21"/>
                <w:szCs w:val="21"/>
                <w:lang w:val="en-US" w:eastAsia="zh-CN"/>
              </w:rPr>
            </w:pPr>
            <w:r>
              <w:rPr>
                <w:rFonts w:hint="default" w:ascii="宋体" w:hAnsi="宋体" w:cs="宋体"/>
                <w:bCs w:val="0"/>
                <w:color w:val="FF0000"/>
                <w:spacing w:val="0"/>
                <w:sz w:val="21"/>
                <w:szCs w:val="21"/>
                <w:lang w:val="en-US" w:eastAsia="zh-CN"/>
              </w:rPr>
              <w:drawing>
                <wp:anchor distT="0" distB="0" distL="114300" distR="114300" simplePos="0" relativeHeight="251660288" behindDoc="0" locked="0" layoutInCell="1" allowOverlap="1">
                  <wp:simplePos x="0" y="0"/>
                  <wp:positionH relativeFrom="column">
                    <wp:posOffset>3206115</wp:posOffset>
                  </wp:positionH>
                  <wp:positionV relativeFrom="paragraph">
                    <wp:posOffset>440690</wp:posOffset>
                  </wp:positionV>
                  <wp:extent cx="2917825" cy="1482090"/>
                  <wp:effectExtent l="0" t="0" r="15875" b="3810"/>
                  <wp:wrapNone/>
                  <wp:docPr id="4" name="图片 4" descr="16509508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650950896(1)"/>
                          <pic:cNvPicPr>
                            <a:picLocks noChangeAspect="1"/>
                          </pic:cNvPicPr>
                        </pic:nvPicPr>
                        <pic:blipFill>
                          <a:blip r:embed="rId6"/>
                          <a:stretch>
                            <a:fillRect/>
                          </a:stretch>
                        </pic:blipFill>
                        <pic:spPr>
                          <a:xfrm>
                            <a:off x="0" y="0"/>
                            <a:ext cx="2917825" cy="1482090"/>
                          </a:xfrm>
                          <a:prstGeom prst="rect">
                            <a:avLst/>
                          </a:prstGeom>
                        </pic:spPr>
                      </pic:pic>
                    </a:graphicData>
                  </a:graphic>
                </wp:anchor>
              </w:drawing>
            </w:r>
            <w:r>
              <w:rPr>
                <w:rFonts w:hint="default" w:ascii="宋体" w:hAnsi="宋体" w:cs="宋体"/>
                <w:bCs w:val="0"/>
                <w:color w:val="auto"/>
                <w:spacing w:val="0"/>
                <w:sz w:val="21"/>
                <w:szCs w:val="21"/>
                <w:lang w:val="en-US" w:eastAsia="zh-CN"/>
              </w:rPr>
              <w:drawing>
                <wp:anchor distT="0" distB="0" distL="114300" distR="114300" simplePos="0" relativeHeight="251659264" behindDoc="0" locked="0" layoutInCell="1" allowOverlap="1">
                  <wp:simplePos x="0" y="0"/>
                  <wp:positionH relativeFrom="column">
                    <wp:posOffset>-14605</wp:posOffset>
                  </wp:positionH>
                  <wp:positionV relativeFrom="paragraph">
                    <wp:posOffset>601980</wp:posOffset>
                  </wp:positionV>
                  <wp:extent cx="3097530" cy="1379220"/>
                  <wp:effectExtent l="0" t="0" r="7620" b="11430"/>
                  <wp:wrapNone/>
                  <wp:docPr id="3" name="图片 3" descr="16509508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650950821(1)"/>
                          <pic:cNvPicPr>
                            <a:picLocks noChangeAspect="1"/>
                          </pic:cNvPicPr>
                        </pic:nvPicPr>
                        <pic:blipFill>
                          <a:blip r:embed="rId7"/>
                          <a:stretch>
                            <a:fillRect/>
                          </a:stretch>
                        </pic:blipFill>
                        <pic:spPr>
                          <a:xfrm>
                            <a:off x="0" y="0"/>
                            <a:ext cx="3097530" cy="1379220"/>
                          </a:xfrm>
                          <a:prstGeom prst="rect">
                            <a:avLst/>
                          </a:prstGeom>
                        </pic:spPr>
                      </pic:pic>
                    </a:graphicData>
                  </a:graphic>
                </wp:anchor>
              </w:drawing>
            </w:r>
            <w:r>
              <w:rPr>
                <w:rFonts w:hint="eastAsia" w:ascii="宋体" w:hAnsi="宋体" w:cs="宋体"/>
                <w:bCs w:val="0"/>
                <w:color w:val="auto"/>
                <w:spacing w:val="0"/>
                <w:sz w:val="21"/>
                <w:szCs w:val="21"/>
                <w:lang w:val="en-US" w:eastAsia="zh-CN"/>
              </w:rPr>
              <w:t>查提供过磅单，交付数量与日期与合同要求相一致，提供对应检测报告，均符合要求，详见原料检测审核记录。</w:t>
            </w:r>
          </w:p>
          <w:p>
            <w:pPr>
              <w:pStyle w:val="10"/>
              <w:spacing w:line="360" w:lineRule="auto"/>
              <w:ind w:firstLine="420"/>
              <w:rPr>
                <w:rFonts w:hint="default" w:ascii="宋体" w:hAnsi="宋体" w:cs="宋体"/>
                <w:bCs w:val="0"/>
                <w:color w:val="FF0000"/>
                <w:spacing w:val="0"/>
                <w:sz w:val="21"/>
                <w:szCs w:val="21"/>
                <w:lang w:val="en-US" w:eastAsia="zh-CN"/>
              </w:rPr>
            </w:pPr>
          </w:p>
          <w:p>
            <w:pPr>
              <w:pStyle w:val="10"/>
              <w:spacing w:line="360" w:lineRule="auto"/>
              <w:ind w:firstLine="420"/>
              <w:rPr>
                <w:rFonts w:hint="default" w:ascii="宋体" w:hAnsi="宋体" w:cs="宋体"/>
                <w:bCs w:val="0"/>
                <w:color w:val="FF0000"/>
                <w:spacing w:val="0"/>
                <w:sz w:val="21"/>
                <w:szCs w:val="21"/>
                <w:lang w:val="en-US" w:eastAsia="zh-CN"/>
              </w:rPr>
            </w:pPr>
          </w:p>
          <w:p>
            <w:pPr>
              <w:pStyle w:val="10"/>
              <w:spacing w:line="360" w:lineRule="auto"/>
              <w:ind w:firstLine="420"/>
              <w:rPr>
                <w:rFonts w:hint="default" w:ascii="宋体" w:hAnsi="宋体" w:cs="宋体"/>
                <w:bCs w:val="0"/>
                <w:color w:val="FF0000"/>
                <w:spacing w:val="0"/>
                <w:sz w:val="21"/>
                <w:szCs w:val="21"/>
                <w:lang w:val="en-US" w:eastAsia="zh-CN"/>
              </w:rPr>
            </w:pPr>
          </w:p>
          <w:p>
            <w:pPr>
              <w:pStyle w:val="10"/>
              <w:spacing w:line="360" w:lineRule="auto"/>
              <w:ind w:firstLine="420"/>
              <w:rPr>
                <w:rFonts w:hint="default" w:ascii="宋体" w:hAnsi="宋体" w:cs="宋体"/>
                <w:bCs w:val="0"/>
                <w:color w:val="FF0000"/>
                <w:spacing w:val="0"/>
                <w:sz w:val="21"/>
                <w:szCs w:val="21"/>
                <w:lang w:val="en-US" w:eastAsia="zh-CN"/>
              </w:rPr>
            </w:pPr>
          </w:p>
          <w:p>
            <w:pPr>
              <w:pStyle w:val="10"/>
              <w:spacing w:line="360" w:lineRule="auto"/>
              <w:ind w:firstLine="420"/>
              <w:rPr>
                <w:rFonts w:hint="default" w:ascii="宋体" w:hAnsi="宋体" w:cs="宋体"/>
                <w:bCs w:val="0"/>
                <w:color w:val="FF0000"/>
                <w:spacing w:val="0"/>
                <w:sz w:val="21"/>
                <w:szCs w:val="21"/>
                <w:lang w:val="en-US" w:eastAsia="zh-CN"/>
              </w:rPr>
            </w:pPr>
          </w:p>
          <w:p>
            <w:pPr>
              <w:pStyle w:val="10"/>
              <w:spacing w:line="360" w:lineRule="auto"/>
              <w:rPr>
                <w:rFonts w:hint="eastAsia" w:ascii="宋体" w:hAnsi="宋体" w:eastAsia="宋体" w:cs="宋体"/>
                <w:bCs w:val="0"/>
                <w:color w:val="FF0000"/>
                <w:spacing w:val="0"/>
                <w:sz w:val="21"/>
                <w:szCs w:val="21"/>
              </w:rPr>
            </w:pPr>
            <w:r>
              <w:rPr>
                <w:rFonts w:hint="eastAsia" w:ascii="宋体" w:hAnsi="宋体" w:eastAsia="宋体" w:cs="宋体"/>
                <w:bCs w:val="0"/>
                <w:color w:val="FF0000"/>
                <w:spacing w:val="0"/>
                <w:sz w:val="21"/>
                <w:szCs w:val="21"/>
                <w:lang w:eastAsia="zh-CN"/>
              </w:rPr>
              <w:drawing>
                <wp:anchor distT="0" distB="0" distL="114300" distR="114300" simplePos="0" relativeHeight="251663360" behindDoc="0" locked="0" layoutInCell="1" allowOverlap="1">
                  <wp:simplePos x="0" y="0"/>
                  <wp:positionH relativeFrom="column">
                    <wp:posOffset>2891790</wp:posOffset>
                  </wp:positionH>
                  <wp:positionV relativeFrom="paragraph">
                    <wp:posOffset>67310</wp:posOffset>
                  </wp:positionV>
                  <wp:extent cx="3297555" cy="1424940"/>
                  <wp:effectExtent l="0" t="0" r="17145" b="3810"/>
                  <wp:wrapNone/>
                  <wp:docPr id="9" name="图片 9" descr="16509511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650951178(1)"/>
                          <pic:cNvPicPr>
                            <a:picLocks noChangeAspect="1"/>
                          </pic:cNvPicPr>
                        </pic:nvPicPr>
                        <pic:blipFill>
                          <a:blip r:embed="rId8"/>
                          <a:stretch>
                            <a:fillRect/>
                          </a:stretch>
                        </pic:blipFill>
                        <pic:spPr>
                          <a:xfrm>
                            <a:off x="0" y="0"/>
                            <a:ext cx="3297555" cy="1424940"/>
                          </a:xfrm>
                          <a:prstGeom prst="rect">
                            <a:avLst/>
                          </a:prstGeom>
                        </pic:spPr>
                      </pic:pic>
                    </a:graphicData>
                  </a:graphic>
                </wp:anchor>
              </w:drawing>
            </w:r>
            <w:r>
              <w:rPr>
                <w:rFonts w:hint="eastAsia" w:ascii="宋体" w:hAnsi="宋体" w:eastAsia="宋体" w:cs="宋体"/>
                <w:bCs w:val="0"/>
                <w:color w:val="FF0000"/>
                <w:spacing w:val="0"/>
                <w:sz w:val="21"/>
                <w:szCs w:val="21"/>
                <w:lang w:eastAsia="zh-CN"/>
              </w:rPr>
              <w:drawing>
                <wp:anchor distT="0" distB="0" distL="114300" distR="114300" simplePos="0" relativeHeight="251661312" behindDoc="0" locked="0" layoutInCell="1" allowOverlap="1">
                  <wp:simplePos x="0" y="0"/>
                  <wp:positionH relativeFrom="column">
                    <wp:posOffset>-17145</wp:posOffset>
                  </wp:positionH>
                  <wp:positionV relativeFrom="paragraph">
                    <wp:posOffset>79375</wp:posOffset>
                  </wp:positionV>
                  <wp:extent cx="2804160" cy="1272540"/>
                  <wp:effectExtent l="0" t="0" r="15240" b="3810"/>
                  <wp:wrapNone/>
                  <wp:docPr id="5" name="图片 5" descr="16509509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650950981(1)"/>
                          <pic:cNvPicPr>
                            <a:picLocks noChangeAspect="1"/>
                          </pic:cNvPicPr>
                        </pic:nvPicPr>
                        <pic:blipFill>
                          <a:blip r:embed="rId9"/>
                          <a:stretch>
                            <a:fillRect/>
                          </a:stretch>
                        </pic:blipFill>
                        <pic:spPr>
                          <a:xfrm>
                            <a:off x="0" y="0"/>
                            <a:ext cx="2804160" cy="1272540"/>
                          </a:xfrm>
                          <a:prstGeom prst="rect">
                            <a:avLst/>
                          </a:prstGeom>
                        </pic:spPr>
                      </pic:pic>
                    </a:graphicData>
                  </a:graphic>
                </wp:anchor>
              </w:drawing>
            </w:r>
          </w:p>
          <w:p>
            <w:pPr>
              <w:pStyle w:val="10"/>
              <w:spacing w:line="360" w:lineRule="auto"/>
              <w:rPr>
                <w:rFonts w:hint="eastAsia" w:ascii="宋体" w:hAnsi="宋体" w:eastAsia="宋体" w:cs="宋体"/>
                <w:bCs w:val="0"/>
                <w:color w:val="FF0000"/>
                <w:spacing w:val="0"/>
                <w:sz w:val="21"/>
                <w:szCs w:val="21"/>
                <w:lang w:eastAsia="zh-CN"/>
              </w:rPr>
            </w:pPr>
          </w:p>
          <w:p>
            <w:pPr>
              <w:pStyle w:val="10"/>
              <w:spacing w:line="360" w:lineRule="auto"/>
              <w:rPr>
                <w:rFonts w:hint="eastAsia" w:ascii="宋体" w:hAnsi="宋体" w:eastAsia="宋体" w:cs="宋体"/>
                <w:bCs w:val="0"/>
                <w:color w:val="FF0000"/>
                <w:spacing w:val="0"/>
                <w:sz w:val="21"/>
                <w:szCs w:val="21"/>
                <w:lang w:eastAsia="zh-CN"/>
              </w:rPr>
            </w:pPr>
          </w:p>
          <w:p>
            <w:pPr>
              <w:pStyle w:val="10"/>
              <w:spacing w:line="360" w:lineRule="auto"/>
              <w:rPr>
                <w:rFonts w:hint="eastAsia" w:ascii="宋体" w:hAnsi="宋体" w:eastAsia="宋体" w:cs="宋体"/>
                <w:bCs w:val="0"/>
                <w:color w:val="FF0000"/>
                <w:spacing w:val="0"/>
                <w:sz w:val="21"/>
                <w:szCs w:val="21"/>
              </w:rPr>
            </w:pPr>
          </w:p>
          <w:p>
            <w:pPr>
              <w:pStyle w:val="10"/>
              <w:spacing w:line="360" w:lineRule="auto"/>
              <w:rPr>
                <w:rFonts w:hint="eastAsia" w:ascii="宋体" w:hAnsi="宋体" w:eastAsia="宋体" w:cs="宋体"/>
                <w:bCs w:val="0"/>
                <w:color w:val="FF0000"/>
                <w:spacing w:val="0"/>
                <w:sz w:val="21"/>
                <w:szCs w:val="21"/>
                <w:lang w:eastAsia="zh-CN"/>
              </w:rPr>
            </w:pPr>
            <w:r>
              <w:rPr>
                <w:rFonts w:hint="eastAsia" w:ascii="宋体" w:hAnsi="宋体" w:eastAsia="宋体" w:cs="宋体"/>
                <w:bCs w:val="0"/>
                <w:color w:val="FF0000"/>
                <w:spacing w:val="0"/>
                <w:sz w:val="21"/>
                <w:szCs w:val="21"/>
                <w:lang w:eastAsia="zh-CN"/>
              </w:rPr>
              <w:drawing>
                <wp:anchor distT="0" distB="0" distL="114300" distR="114300" simplePos="0" relativeHeight="251662336" behindDoc="0" locked="0" layoutInCell="1" allowOverlap="1">
                  <wp:simplePos x="0" y="0"/>
                  <wp:positionH relativeFrom="column">
                    <wp:posOffset>87630</wp:posOffset>
                  </wp:positionH>
                  <wp:positionV relativeFrom="paragraph">
                    <wp:posOffset>149860</wp:posOffset>
                  </wp:positionV>
                  <wp:extent cx="2621280" cy="2086610"/>
                  <wp:effectExtent l="0" t="0" r="7620" b="8890"/>
                  <wp:wrapNone/>
                  <wp:docPr id="8" name="图片 8" descr="16509510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650951066(1)"/>
                          <pic:cNvPicPr>
                            <a:picLocks noChangeAspect="1"/>
                          </pic:cNvPicPr>
                        </pic:nvPicPr>
                        <pic:blipFill>
                          <a:blip r:embed="rId10"/>
                          <a:stretch>
                            <a:fillRect/>
                          </a:stretch>
                        </pic:blipFill>
                        <pic:spPr>
                          <a:xfrm>
                            <a:off x="0" y="0"/>
                            <a:ext cx="2621280" cy="2086610"/>
                          </a:xfrm>
                          <a:prstGeom prst="rect">
                            <a:avLst/>
                          </a:prstGeom>
                        </pic:spPr>
                      </pic:pic>
                    </a:graphicData>
                  </a:graphic>
                </wp:anchor>
              </w:drawing>
            </w:r>
          </w:p>
          <w:p>
            <w:pPr>
              <w:pStyle w:val="10"/>
              <w:spacing w:line="360" w:lineRule="auto"/>
              <w:rPr>
                <w:rFonts w:hint="eastAsia" w:ascii="宋体" w:hAnsi="宋体" w:eastAsia="宋体" w:cs="宋体"/>
                <w:bCs w:val="0"/>
                <w:color w:val="FF0000"/>
                <w:spacing w:val="0"/>
                <w:sz w:val="21"/>
                <w:szCs w:val="21"/>
                <w:lang w:eastAsia="zh-CN"/>
              </w:rPr>
            </w:pPr>
            <w:r>
              <w:rPr>
                <w:rFonts w:hint="eastAsia" w:ascii="宋体" w:hAnsi="宋体" w:eastAsia="宋体" w:cs="宋体"/>
                <w:bCs w:val="0"/>
                <w:color w:val="FF0000"/>
                <w:spacing w:val="0"/>
                <w:sz w:val="21"/>
                <w:szCs w:val="21"/>
                <w:lang w:eastAsia="zh-CN"/>
              </w:rPr>
              <w:drawing>
                <wp:anchor distT="0" distB="0" distL="114300" distR="114300" simplePos="0" relativeHeight="251664384" behindDoc="0" locked="0" layoutInCell="1" allowOverlap="1">
                  <wp:simplePos x="0" y="0"/>
                  <wp:positionH relativeFrom="column">
                    <wp:posOffset>2906395</wp:posOffset>
                  </wp:positionH>
                  <wp:positionV relativeFrom="paragraph">
                    <wp:posOffset>142875</wp:posOffset>
                  </wp:positionV>
                  <wp:extent cx="3297555" cy="1339850"/>
                  <wp:effectExtent l="0" t="0" r="17145" b="12700"/>
                  <wp:wrapNone/>
                  <wp:docPr id="10" name="图片 10" descr="16509512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650951270(1)"/>
                          <pic:cNvPicPr>
                            <a:picLocks noChangeAspect="1"/>
                          </pic:cNvPicPr>
                        </pic:nvPicPr>
                        <pic:blipFill>
                          <a:blip r:embed="rId11"/>
                          <a:stretch>
                            <a:fillRect/>
                          </a:stretch>
                        </pic:blipFill>
                        <pic:spPr>
                          <a:xfrm>
                            <a:off x="0" y="0"/>
                            <a:ext cx="3297555" cy="1339850"/>
                          </a:xfrm>
                          <a:prstGeom prst="rect">
                            <a:avLst/>
                          </a:prstGeom>
                        </pic:spPr>
                      </pic:pic>
                    </a:graphicData>
                  </a:graphic>
                </wp:anchor>
              </w:drawing>
            </w:r>
          </w:p>
          <w:p>
            <w:pPr>
              <w:pStyle w:val="10"/>
              <w:spacing w:line="360" w:lineRule="auto"/>
              <w:rPr>
                <w:rFonts w:hint="eastAsia" w:ascii="宋体" w:hAnsi="宋体" w:eastAsia="宋体" w:cs="宋体"/>
                <w:bCs w:val="0"/>
                <w:color w:val="FF0000"/>
                <w:spacing w:val="0"/>
                <w:sz w:val="21"/>
                <w:szCs w:val="21"/>
              </w:rPr>
            </w:pPr>
          </w:p>
          <w:p>
            <w:pPr>
              <w:pStyle w:val="10"/>
              <w:spacing w:line="360" w:lineRule="auto"/>
              <w:rPr>
                <w:rFonts w:hint="eastAsia" w:ascii="宋体" w:hAnsi="宋体" w:eastAsia="宋体" w:cs="宋体"/>
                <w:bCs w:val="0"/>
                <w:color w:val="FF0000"/>
                <w:spacing w:val="0"/>
                <w:sz w:val="21"/>
                <w:szCs w:val="21"/>
              </w:rPr>
            </w:pPr>
          </w:p>
          <w:p>
            <w:pPr>
              <w:pStyle w:val="10"/>
              <w:spacing w:line="360" w:lineRule="auto"/>
              <w:rPr>
                <w:rFonts w:hint="eastAsia" w:ascii="宋体" w:hAnsi="宋体" w:eastAsia="宋体" w:cs="宋体"/>
                <w:bCs w:val="0"/>
                <w:color w:val="FF0000"/>
                <w:spacing w:val="0"/>
                <w:sz w:val="21"/>
                <w:szCs w:val="21"/>
              </w:rPr>
            </w:pPr>
          </w:p>
          <w:p>
            <w:pPr>
              <w:pStyle w:val="10"/>
              <w:spacing w:line="360" w:lineRule="auto"/>
              <w:rPr>
                <w:rFonts w:hint="eastAsia" w:ascii="宋体" w:hAnsi="宋体" w:eastAsia="宋体" w:cs="宋体"/>
                <w:bCs w:val="0"/>
                <w:color w:val="FF0000"/>
                <w:spacing w:val="0"/>
                <w:sz w:val="21"/>
                <w:szCs w:val="21"/>
                <w:lang w:eastAsia="zh-CN"/>
              </w:rPr>
            </w:pPr>
          </w:p>
          <w:p>
            <w:pPr>
              <w:pStyle w:val="10"/>
              <w:spacing w:line="360" w:lineRule="auto"/>
              <w:rPr>
                <w:rFonts w:hint="eastAsia" w:ascii="宋体" w:hAnsi="宋体" w:eastAsia="宋体" w:cs="宋体"/>
                <w:bCs w:val="0"/>
                <w:color w:val="FF0000"/>
                <w:spacing w:val="0"/>
                <w:sz w:val="21"/>
                <w:szCs w:val="21"/>
              </w:rPr>
            </w:pPr>
          </w:p>
          <w:p>
            <w:pPr>
              <w:spacing w:line="360" w:lineRule="auto"/>
              <w:rPr>
                <w:rFonts w:hint="eastAsia" w:ascii="宋体" w:hAnsi="宋体" w:eastAsia="宋体" w:cs="宋体"/>
                <w:sz w:val="21"/>
                <w:szCs w:val="21"/>
              </w:rPr>
            </w:pPr>
            <w:r>
              <w:rPr>
                <w:rFonts w:hint="eastAsia" w:ascii="宋体" w:hAnsi="宋体" w:eastAsia="宋体" w:cs="宋体"/>
                <w:bCs w:val="0"/>
                <w:spacing w:val="0"/>
                <w:sz w:val="21"/>
                <w:szCs w:val="21"/>
              </w:rPr>
              <w:t>采购流程基本符合要求。</w:t>
            </w:r>
          </w:p>
        </w:tc>
        <w:tc>
          <w:tcPr>
            <w:tcW w:w="1585" w:type="dxa"/>
            <w:noWrap w:val="0"/>
            <w:vAlign w:val="top"/>
          </w:tcPr>
          <w:p>
            <w:pPr>
              <w:spacing w:line="360" w:lineRule="auto"/>
              <w:rPr>
                <w:rFonts w:hint="eastAsia" w:ascii="宋体" w:hAnsi="宋体" w:eastAsia="宋体" w:cs="宋体"/>
                <w:sz w:val="21"/>
                <w:szCs w:val="21"/>
                <w:lang w:val="en-US" w:eastAsia="zh-CN"/>
              </w:rPr>
            </w:pPr>
            <w:r>
              <w:rPr>
                <w:rFonts w:hint="eastAsia" w:ascii="宋体" w:hAnsi="宋体" w:cs="宋体"/>
                <w:b/>
                <w:bCs/>
                <w:color w:val="FF0000"/>
                <w:sz w:val="21"/>
                <w:szCs w:val="21"/>
                <w:lang w:val="en-US" w:eastAsia="zh-CN"/>
              </w:rPr>
              <w:t>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9" w:hRule="atLeast"/>
        </w:trPr>
        <w:tc>
          <w:tcPr>
            <w:tcW w:w="2122" w:type="dxa"/>
            <w:noWrap w:val="0"/>
            <w:vAlign w:val="top"/>
          </w:tcPr>
          <w:p>
            <w:pPr>
              <w:spacing w:line="360" w:lineRule="auto"/>
              <w:rPr>
                <w:rFonts w:hint="eastAsia" w:ascii="宋体" w:hAnsi="宋体" w:eastAsia="宋体" w:cs="宋体"/>
                <w:kern w:val="2"/>
                <w:sz w:val="21"/>
                <w:szCs w:val="21"/>
                <w:lang w:val="en-US" w:eastAsia="zh-CN" w:bidi="ar-SA"/>
              </w:rPr>
            </w:pPr>
            <w:r>
              <w:rPr>
                <w:rFonts w:hint="eastAsia" w:ascii="宋体" w:hAnsi="宋体" w:eastAsia="宋体" w:cs="宋体"/>
                <w:color w:val="auto"/>
                <w:sz w:val="21"/>
                <w:szCs w:val="21"/>
                <w:lang w:val="en-US" w:eastAsia="zh-CN"/>
              </w:rPr>
              <w:t>不合格和纠正措施</w:t>
            </w:r>
          </w:p>
        </w:tc>
        <w:tc>
          <w:tcPr>
            <w:tcW w:w="998" w:type="dxa"/>
            <w:noWrap w:val="0"/>
            <w:vAlign w:val="top"/>
          </w:tcPr>
          <w:p>
            <w:pPr>
              <w:spacing w:line="360" w:lineRule="auto"/>
              <w:rPr>
                <w:rFonts w:hint="eastAsia" w:ascii="宋体" w:hAnsi="宋体" w:eastAsia="宋体" w:cs="宋体"/>
                <w:kern w:val="2"/>
                <w:sz w:val="21"/>
                <w:szCs w:val="21"/>
                <w:lang w:val="en-US" w:eastAsia="zh-CN" w:bidi="ar-SA"/>
              </w:rPr>
            </w:pPr>
            <w:r>
              <w:rPr>
                <w:rFonts w:hint="eastAsia" w:ascii="宋体" w:hAnsi="宋体" w:eastAsia="宋体" w:cs="宋体"/>
                <w:sz w:val="21"/>
                <w:szCs w:val="21"/>
              </w:rPr>
              <w:t>Q10.2</w:t>
            </w:r>
          </w:p>
        </w:tc>
        <w:tc>
          <w:tcPr>
            <w:tcW w:w="10004" w:type="dxa"/>
            <w:noWrap w:val="0"/>
            <w:vAlign w:val="top"/>
          </w:tcPr>
          <w:p>
            <w:pPr>
              <w:spacing w:line="360" w:lineRule="auto"/>
              <w:jc w:val="left"/>
              <w:rPr>
                <w:rFonts w:hint="eastAsia" w:ascii="宋体" w:hAnsi="宋体" w:eastAsia="宋体" w:cs="宋体"/>
                <w:sz w:val="21"/>
                <w:szCs w:val="21"/>
              </w:rPr>
            </w:pPr>
            <w:r>
              <w:rPr>
                <w:rFonts w:hint="eastAsia" w:ascii="宋体" w:hAnsi="宋体" w:eastAsia="宋体" w:cs="宋体"/>
                <w:sz w:val="21"/>
                <w:szCs w:val="21"/>
              </w:rPr>
              <w:t>公司编制有《不符合纠正措施控制程序》，规定了发现不合格应采取纠正措施的具体要求，并按要求进行了控制。</w:t>
            </w:r>
          </w:p>
          <w:p>
            <w:pPr>
              <w:spacing w:line="360" w:lineRule="auto"/>
              <w:jc w:val="left"/>
              <w:rPr>
                <w:rFonts w:hint="eastAsia" w:ascii="宋体" w:hAnsi="宋体" w:eastAsia="宋体" w:cs="宋体"/>
                <w:sz w:val="21"/>
                <w:szCs w:val="21"/>
              </w:rPr>
            </w:pPr>
            <w:r>
              <w:rPr>
                <w:rFonts w:hint="eastAsia" w:ascii="宋体" w:hAnsi="宋体" w:eastAsia="宋体" w:cs="宋体"/>
                <w:sz w:val="21"/>
                <w:szCs w:val="21"/>
              </w:rPr>
              <w:t>抽查内审《不符合报告》，针对内审中发现的不合格事实，责任部门进行了原因分析，制定了纠正措施并实施，经验证整改有效。</w:t>
            </w:r>
          </w:p>
          <w:p>
            <w:pPr>
              <w:pStyle w:val="3"/>
              <w:spacing w:line="360" w:lineRule="auto"/>
              <w:rPr>
                <w:rFonts w:hint="eastAsia" w:ascii="宋体" w:hAnsi="宋体" w:eastAsia="宋体" w:cs="宋体"/>
                <w:sz w:val="21"/>
                <w:szCs w:val="21"/>
              </w:rPr>
            </w:pPr>
            <w:r>
              <w:rPr>
                <w:rFonts w:hint="eastAsia" w:ascii="宋体" w:hAnsi="宋体" w:eastAsia="宋体" w:cs="宋体"/>
                <w:sz w:val="21"/>
                <w:szCs w:val="21"/>
              </w:rPr>
              <w:t>抽查上次管理评审提出的改进措施已完成。</w:t>
            </w:r>
          </w:p>
          <w:p>
            <w:pPr>
              <w:spacing w:line="360" w:lineRule="auto"/>
              <w:jc w:val="left"/>
              <w:rPr>
                <w:rFonts w:hint="eastAsia" w:ascii="宋体" w:hAnsi="宋体" w:eastAsia="宋体" w:cs="宋体"/>
                <w:sz w:val="21"/>
                <w:szCs w:val="21"/>
              </w:rPr>
            </w:pPr>
            <w:r>
              <w:rPr>
                <w:rFonts w:hint="eastAsia" w:ascii="宋体" w:hAnsi="宋体" w:eastAsia="宋体" w:cs="宋体"/>
                <w:sz w:val="21"/>
                <w:szCs w:val="21"/>
              </w:rPr>
              <w:t>体系运行的其他方面经过日常工作检查和数据分析，暂未发现应采取纠正和预防措施的机会。</w:t>
            </w:r>
          </w:p>
          <w:p>
            <w:pPr>
              <w:spacing w:line="360" w:lineRule="auto"/>
              <w:rPr>
                <w:rFonts w:hint="eastAsia" w:ascii="宋体" w:hAnsi="宋体" w:eastAsia="宋体" w:cs="宋体"/>
                <w:kern w:val="2"/>
                <w:sz w:val="21"/>
                <w:szCs w:val="21"/>
                <w:lang w:val="en-US" w:eastAsia="zh-CN" w:bidi="ar-SA"/>
              </w:rPr>
            </w:pPr>
            <w:r>
              <w:rPr>
                <w:rFonts w:hint="eastAsia" w:ascii="宋体" w:hAnsi="宋体" w:eastAsia="宋体" w:cs="宋体"/>
                <w:sz w:val="21"/>
                <w:szCs w:val="21"/>
              </w:rPr>
              <w:t>日后应进一步加大日常工作检查力度，及时发现不符合及潜在不符合并及时采取相应措施，持续改进体系的有效性。</w:t>
            </w:r>
          </w:p>
        </w:tc>
        <w:tc>
          <w:tcPr>
            <w:tcW w:w="1585" w:type="dxa"/>
            <w:noWrap w:val="0"/>
            <w:vAlign w:val="top"/>
          </w:tcPr>
          <w:p>
            <w:pPr>
              <w:spacing w:line="360" w:lineRule="auto"/>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符合</w:t>
            </w:r>
          </w:p>
        </w:tc>
      </w:tr>
    </w:tbl>
    <w:p>
      <w:pPr>
        <w:pStyle w:val="5"/>
      </w:pPr>
      <w:r>
        <w:rPr>
          <w:rFonts w:hint="eastAsia"/>
        </w:rPr>
        <w:t>说明：不符合标注N</w:t>
      </w:r>
    </w:p>
    <w:sectPr>
      <w:headerReference r:id="rId3" w:type="default"/>
      <w:footerReference r:id="rId4" w:type="default"/>
      <w:pgSz w:w="16838" w:h="11906" w:orient="landscape"/>
      <w:pgMar w:top="1440" w:right="1080" w:bottom="1440" w:left="108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隶书">
    <w:panose1 w:val="02010509060101010101"/>
    <w:charset w:val="86"/>
    <w:family w:val="modern"/>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jc w:val="center"/>
    </w:pPr>
    <w:r>
      <w:rPr>
        <w:b/>
        <w:sz w:val="24"/>
        <w:szCs w:val="24"/>
      </w:rPr>
      <w:fldChar w:fldCharType="begin"/>
    </w:r>
    <w:r>
      <w:rPr>
        <w:b/>
      </w:rPr>
      <w:instrText xml:space="preserve">PAGE</w:instrText>
    </w:r>
    <w:r>
      <w:rPr>
        <w:b/>
        <w:sz w:val="24"/>
        <w:szCs w:val="24"/>
      </w:rPr>
      <w:fldChar w:fldCharType="separate"/>
    </w:r>
    <w:r>
      <w:rPr>
        <w:b/>
      </w:rPr>
      <w:t>3</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4</w:t>
    </w:r>
    <w:r>
      <w:rPr>
        <w:b/>
        <w:sz w:val="24"/>
        <w:szCs w:val="24"/>
      </w:rPr>
      <w:fldChar w:fldCharType="end"/>
    </w:r>
  </w:p>
  <w:p>
    <w:pPr>
      <w:pStyle w:val="5"/>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none" w:color="auto" w:sz="0" w:space="0"/>
      </w:pBdr>
      <w:tabs>
        <w:tab w:val="left" w:pos="8910"/>
        <w:tab w:val="left" w:pos="9142"/>
        <w:tab w:val="clear" w:pos="4153"/>
      </w:tabs>
      <w:spacing w:line="320" w:lineRule="exact"/>
      <w:ind w:left="-86" w:leftChars="-41" w:firstLine="810" w:firstLineChars="450"/>
      <w:jc w:val="left"/>
      <w:rPr>
        <w:rStyle w:val="14"/>
        <w:rFonts w:hint="default"/>
      </w:rPr>
    </w:pPr>
    <w:r>
      <w:drawing>
        <wp:anchor distT="0" distB="0" distL="114300" distR="114300" simplePos="0" relativeHeight="251661312" behindDoc="0" locked="0" layoutInCell="1" allowOverlap="1">
          <wp:simplePos x="0" y="0"/>
          <wp:positionH relativeFrom="column">
            <wp:posOffset>-76200</wp:posOffset>
          </wp:positionH>
          <wp:positionV relativeFrom="paragraph">
            <wp:posOffset>-31750</wp:posOffset>
          </wp:positionV>
          <wp:extent cx="485775" cy="485775"/>
          <wp:effectExtent l="0" t="0" r="9525" b="9525"/>
          <wp:wrapTopAndBottom/>
          <wp:docPr id="2" name="图片 0" descr="新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0" descr="新LOGO.png"/>
                  <pic:cNvPicPr>
                    <a:picLocks noChangeAspect="1"/>
                  </pic:cNvPicPr>
                </pic:nvPicPr>
                <pic:blipFill>
                  <a:blip r:embed="rId1"/>
                  <a:stretch>
                    <a:fillRect/>
                  </a:stretch>
                </pic:blipFill>
                <pic:spPr>
                  <a:xfrm>
                    <a:off x="0" y="0"/>
                    <a:ext cx="485775" cy="485775"/>
                  </a:xfrm>
                  <a:prstGeom prst="rect">
                    <a:avLst/>
                  </a:prstGeom>
                  <a:noFill/>
                  <a:ln>
                    <a:noFill/>
                  </a:ln>
                </pic:spPr>
              </pic:pic>
            </a:graphicData>
          </a:graphic>
        </wp:anchor>
      </w:drawing>
    </w:r>
    <w:r>
      <mc:AlternateContent>
        <mc:Choice Requires="wps">
          <w:drawing>
            <wp:anchor distT="0" distB="0" distL="114300" distR="114300" simplePos="0" relativeHeight="251660288" behindDoc="0" locked="0" layoutInCell="1" allowOverlap="1">
              <wp:simplePos x="0" y="0"/>
              <wp:positionH relativeFrom="column">
                <wp:posOffset>7879080</wp:posOffset>
              </wp:positionH>
              <wp:positionV relativeFrom="paragraph">
                <wp:posOffset>159385</wp:posOffset>
              </wp:positionV>
              <wp:extent cx="1304290" cy="256540"/>
              <wp:effectExtent l="0" t="0" r="3810" b="10160"/>
              <wp:wrapNone/>
              <wp:docPr id="1" name="文本框 1"/>
              <wp:cNvGraphicFramePr/>
              <a:graphic xmlns:a="http://schemas.openxmlformats.org/drawingml/2006/main">
                <a:graphicData uri="http://schemas.microsoft.com/office/word/2010/wordprocessingShape">
                  <wps:wsp>
                    <wps:cNvSpPr txBox="1"/>
                    <wps:spPr>
                      <a:xfrm>
                        <a:off x="0" y="0"/>
                        <a:ext cx="1304290" cy="256540"/>
                      </a:xfrm>
                      <a:prstGeom prst="rect">
                        <a:avLst/>
                      </a:prstGeom>
                      <a:solidFill>
                        <a:srgbClr val="FFFFFF"/>
                      </a:solidFill>
                      <a:ln>
                        <a:noFill/>
                      </a:ln>
                      <a:effectLst/>
                    </wps:spPr>
                    <wps:txbx>
                      <w:txbxContent>
                        <w:p>
                          <w:pPr>
                            <w:rPr>
                              <w:sz w:val="18"/>
                              <w:szCs w:val="18"/>
                            </w:rPr>
                          </w:pPr>
                          <w:r>
                            <w:rPr>
                              <w:rFonts w:hint="eastAsia"/>
                              <w:sz w:val="18"/>
                              <w:szCs w:val="18"/>
                            </w:rPr>
                            <w:t>ISC-B-II-12(05版）</w:t>
                          </w:r>
                        </w:p>
                      </w:txbxContent>
                    </wps:txbx>
                    <wps:bodyPr vert="horz" wrap="square" anchor="t" anchorCtr="0" upright="1"/>
                  </wps:wsp>
                </a:graphicData>
              </a:graphic>
            </wp:anchor>
          </w:drawing>
        </mc:Choice>
        <mc:Fallback>
          <w:pict>
            <v:shape id="_x0000_s1026" o:spid="_x0000_s1026" o:spt="202" type="#_x0000_t202" style="position:absolute;left:0pt;margin-left:620.4pt;margin-top:12.55pt;height:20.2pt;width:102.7pt;z-index:251660288;mso-width-relative:page;mso-height-relative:page;" fillcolor="#FFFFFF" filled="t" stroked="f" coordsize="21600,21600" o:gfxdata="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QkH4RNgAAAAL&#10;AQAADwAAAAAAAAABACAAAAAiAAAAZHJzL2Rvd25yZXYueG1sUEsBAhQAFAAAAAgAh07iQOZzOZbj&#10;AQAAuAMAAA4AAAAAAAAAAQAgAAAAJwEAAGRycy9lMm9Eb2MueG1sUEsFBgAAAAAGAAYAWQEAAHwF&#10;AAAAAA==&#10;">
              <v:fill on="t" focussize="0,0"/>
              <v:stroke on="f"/>
              <v:imagedata o:title=""/>
              <o:lock v:ext="edit" aspectratio="f"/>
              <v:textbox>
                <w:txbxContent>
                  <w:p>
                    <w:pPr>
                      <w:rPr>
                        <w:sz w:val="18"/>
                        <w:szCs w:val="18"/>
                      </w:rPr>
                    </w:pPr>
                    <w:r>
                      <w:rPr>
                        <w:rFonts w:hint="eastAsia"/>
                        <w:sz w:val="18"/>
                        <w:szCs w:val="18"/>
                      </w:rPr>
                      <w:t>ISC-B-II-12(05版）</w:t>
                    </w:r>
                  </w:p>
                </w:txbxContent>
              </v:textbox>
            </v:shape>
          </w:pict>
        </mc:Fallback>
      </mc:AlternateContent>
    </w:r>
    <w:r>
      <w:rPr>
        <w:rStyle w:val="14"/>
        <w:rFonts w:hint="default"/>
      </w:rPr>
      <w:t>北京国标联合认证有限公司</w:t>
    </w:r>
    <w:r>
      <w:rPr>
        <w:rStyle w:val="14"/>
        <w:rFonts w:hint="default"/>
      </w:rPr>
      <w:tab/>
    </w:r>
    <w:r>
      <w:rPr>
        <w:rStyle w:val="14"/>
        <w:rFonts w:hint="default"/>
      </w:rPr>
      <w:tab/>
    </w:r>
    <w:r>
      <w:rPr>
        <w:rStyle w:val="14"/>
        <w:rFonts w:hint="default"/>
      </w:rPr>
      <w:tab/>
    </w:r>
  </w:p>
  <w:p>
    <w:pPr>
      <w:pStyle w:val="6"/>
      <w:pBdr>
        <w:bottom w:val="none" w:color="auto" w:sz="0" w:space="0"/>
      </w:pBdr>
      <w:spacing w:line="320" w:lineRule="exact"/>
      <w:ind w:firstLine="756" w:firstLineChars="400"/>
      <w:jc w:val="left"/>
    </w:pPr>
    <w:r>
      <w:rPr>
        <w:rStyle w:val="14"/>
        <w:rFonts w:hint="default"/>
        <w:w w:val="90"/>
      </w:rPr>
      <w:t>Beijing International Standard united Certification Co.,Ltd.</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hyphenationZone w:val="36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4B16"/>
    <w:rsid w:val="00011ABE"/>
    <w:rsid w:val="00076C21"/>
    <w:rsid w:val="00077C88"/>
    <w:rsid w:val="000861CC"/>
    <w:rsid w:val="000A75BA"/>
    <w:rsid w:val="000B0CD5"/>
    <w:rsid w:val="000B6409"/>
    <w:rsid w:val="000F14E3"/>
    <w:rsid w:val="00115E0C"/>
    <w:rsid w:val="00121BF2"/>
    <w:rsid w:val="001311B9"/>
    <w:rsid w:val="001319FA"/>
    <w:rsid w:val="00133E72"/>
    <w:rsid w:val="00140940"/>
    <w:rsid w:val="00140A69"/>
    <w:rsid w:val="0016036E"/>
    <w:rsid w:val="001937C7"/>
    <w:rsid w:val="001945D7"/>
    <w:rsid w:val="001979E1"/>
    <w:rsid w:val="001A05B6"/>
    <w:rsid w:val="001A3B63"/>
    <w:rsid w:val="001C3995"/>
    <w:rsid w:val="001C57A3"/>
    <w:rsid w:val="001F0E7B"/>
    <w:rsid w:val="002036B4"/>
    <w:rsid w:val="002533F4"/>
    <w:rsid w:val="00273847"/>
    <w:rsid w:val="002871F4"/>
    <w:rsid w:val="00287457"/>
    <w:rsid w:val="002B36EC"/>
    <w:rsid w:val="002C22A6"/>
    <w:rsid w:val="002E29A0"/>
    <w:rsid w:val="002E55EA"/>
    <w:rsid w:val="002F05BD"/>
    <w:rsid w:val="003015FB"/>
    <w:rsid w:val="00321BEA"/>
    <w:rsid w:val="003273C2"/>
    <w:rsid w:val="003445A0"/>
    <w:rsid w:val="003541E0"/>
    <w:rsid w:val="00364D71"/>
    <w:rsid w:val="00382525"/>
    <w:rsid w:val="003840DB"/>
    <w:rsid w:val="00384FEF"/>
    <w:rsid w:val="00397D3F"/>
    <w:rsid w:val="003C12BB"/>
    <w:rsid w:val="003C254E"/>
    <w:rsid w:val="003C6170"/>
    <w:rsid w:val="003E434A"/>
    <w:rsid w:val="0042030E"/>
    <w:rsid w:val="00421E1B"/>
    <w:rsid w:val="0043712F"/>
    <w:rsid w:val="004450A7"/>
    <w:rsid w:val="0047490C"/>
    <w:rsid w:val="004819AB"/>
    <w:rsid w:val="00497971"/>
    <w:rsid w:val="004B20B2"/>
    <w:rsid w:val="004D14C1"/>
    <w:rsid w:val="004D6FC5"/>
    <w:rsid w:val="004E6448"/>
    <w:rsid w:val="004E7665"/>
    <w:rsid w:val="004F4E79"/>
    <w:rsid w:val="00503F34"/>
    <w:rsid w:val="005074C4"/>
    <w:rsid w:val="00507E17"/>
    <w:rsid w:val="00516205"/>
    <w:rsid w:val="00532DE5"/>
    <w:rsid w:val="00551E35"/>
    <w:rsid w:val="0056074B"/>
    <w:rsid w:val="00567182"/>
    <w:rsid w:val="005A2330"/>
    <w:rsid w:val="005A23B2"/>
    <w:rsid w:val="005B6C34"/>
    <w:rsid w:val="005D2531"/>
    <w:rsid w:val="00621EA2"/>
    <w:rsid w:val="006256EF"/>
    <w:rsid w:val="00646303"/>
    <w:rsid w:val="0066353B"/>
    <w:rsid w:val="00663A52"/>
    <w:rsid w:val="00672093"/>
    <w:rsid w:val="00672CC5"/>
    <w:rsid w:val="00680222"/>
    <w:rsid w:val="006842EC"/>
    <w:rsid w:val="006E4E1C"/>
    <w:rsid w:val="006F2650"/>
    <w:rsid w:val="006F2C8A"/>
    <w:rsid w:val="00715292"/>
    <w:rsid w:val="007469D5"/>
    <w:rsid w:val="0075560B"/>
    <w:rsid w:val="00756C63"/>
    <w:rsid w:val="00761387"/>
    <w:rsid w:val="00774749"/>
    <w:rsid w:val="007861D2"/>
    <w:rsid w:val="007B4E33"/>
    <w:rsid w:val="007C5A7D"/>
    <w:rsid w:val="007C6A31"/>
    <w:rsid w:val="007E6050"/>
    <w:rsid w:val="00814B16"/>
    <w:rsid w:val="008242EA"/>
    <w:rsid w:val="008265BB"/>
    <w:rsid w:val="00834CE8"/>
    <w:rsid w:val="0085042B"/>
    <w:rsid w:val="008631F9"/>
    <w:rsid w:val="008667F0"/>
    <w:rsid w:val="00885DC8"/>
    <w:rsid w:val="008A1509"/>
    <w:rsid w:val="008B3B2F"/>
    <w:rsid w:val="008C01A2"/>
    <w:rsid w:val="008D2E87"/>
    <w:rsid w:val="008D3475"/>
    <w:rsid w:val="0092791F"/>
    <w:rsid w:val="00954D65"/>
    <w:rsid w:val="00955C0E"/>
    <w:rsid w:val="00976860"/>
    <w:rsid w:val="00991AEB"/>
    <w:rsid w:val="009977CF"/>
    <w:rsid w:val="009B1072"/>
    <w:rsid w:val="00A01526"/>
    <w:rsid w:val="00A30F85"/>
    <w:rsid w:val="00A52229"/>
    <w:rsid w:val="00A76F84"/>
    <w:rsid w:val="00A86196"/>
    <w:rsid w:val="00A94706"/>
    <w:rsid w:val="00AB5CFD"/>
    <w:rsid w:val="00AE6698"/>
    <w:rsid w:val="00AF6FB0"/>
    <w:rsid w:val="00B007F3"/>
    <w:rsid w:val="00B03AA7"/>
    <w:rsid w:val="00B119B7"/>
    <w:rsid w:val="00B361C1"/>
    <w:rsid w:val="00B531A8"/>
    <w:rsid w:val="00B53B05"/>
    <w:rsid w:val="00B6507C"/>
    <w:rsid w:val="00C21E07"/>
    <w:rsid w:val="00C277AC"/>
    <w:rsid w:val="00C41F32"/>
    <w:rsid w:val="00C4272D"/>
    <w:rsid w:val="00C44388"/>
    <w:rsid w:val="00C60EB8"/>
    <w:rsid w:val="00C827AA"/>
    <w:rsid w:val="00C856E9"/>
    <w:rsid w:val="00C94573"/>
    <w:rsid w:val="00CA1BE3"/>
    <w:rsid w:val="00CC1E1A"/>
    <w:rsid w:val="00CD1E5C"/>
    <w:rsid w:val="00CD4ED7"/>
    <w:rsid w:val="00CD58BC"/>
    <w:rsid w:val="00D05DB2"/>
    <w:rsid w:val="00D6037A"/>
    <w:rsid w:val="00D937E0"/>
    <w:rsid w:val="00DE1A2C"/>
    <w:rsid w:val="00DE2FCE"/>
    <w:rsid w:val="00DF19AB"/>
    <w:rsid w:val="00E0114F"/>
    <w:rsid w:val="00E11BD3"/>
    <w:rsid w:val="00E17655"/>
    <w:rsid w:val="00E219A3"/>
    <w:rsid w:val="00E41911"/>
    <w:rsid w:val="00E556FE"/>
    <w:rsid w:val="00E707CA"/>
    <w:rsid w:val="00E944DC"/>
    <w:rsid w:val="00E97654"/>
    <w:rsid w:val="00EA2EA2"/>
    <w:rsid w:val="00EB1A5C"/>
    <w:rsid w:val="00EB6AAC"/>
    <w:rsid w:val="00ED41DC"/>
    <w:rsid w:val="00EF78EA"/>
    <w:rsid w:val="00F01C99"/>
    <w:rsid w:val="00F01F3E"/>
    <w:rsid w:val="00F05246"/>
    <w:rsid w:val="00F11424"/>
    <w:rsid w:val="00F13731"/>
    <w:rsid w:val="00F43CC1"/>
    <w:rsid w:val="00F5455B"/>
    <w:rsid w:val="00F62C59"/>
    <w:rsid w:val="00FB5026"/>
    <w:rsid w:val="00FB6FAA"/>
    <w:rsid w:val="00FF0A51"/>
    <w:rsid w:val="00FF1D21"/>
    <w:rsid w:val="07592D7D"/>
    <w:rsid w:val="094B5FB2"/>
    <w:rsid w:val="0A755CD1"/>
    <w:rsid w:val="0FAF09BB"/>
    <w:rsid w:val="0FFA2296"/>
    <w:rsid w:val="11864B8E"/>
    <w:rsid w:val="11B844E6"/>
    <w:rsid w:val="15C66BD1"/>
    <w:rsid w:val="1EB869F3"/>
    <w:rsid w:val="220D289B"/>
    <w:rsid w:val="23B20D5A"/>
    <w:rsid w:val="264051B9"/>
    <w:rsid w:val="2AF54A5E"/>
    <w:rsid w:val="2EA20F89"/>
    <w:rsid w:val="32D97D49"/>
    <w:rsid w:val="332B0865"/>
    <w:rsid w:val="371E222F"/>
    <w:rsid w:val="37DA1621"/>
    <w:rsid w:val="3CE175D0"/>
    <w:rsid w:val="443A3782"/>
    <w:rsid w:val="452A78E6"/>
    <w:rsid w:val="4B2C6E6A"/>
    <w:rsid w:val="4B7612EF"/>
    <w:rsid w:val="4DED56EF"/>
    <w:rsid w:val="5037079C"/>
    <w:rsid w:val="53525835"/>
    <w:rsid w:val="54BB00F7"/>
    <w:rsid w:val="5CD05E70"/>
    <w:rsid w:val="676A0D77"/>
    <w:rsid w:val="699D3F82"/>
    <w:rsid w:val="6AA72026"/>
    <w:rsid w:val="6AB610C6"/>
    <w:rsid w:val="71AC36AD"/>
    <w:rsid w:val="735811A8"/>
    <w:rsid w:val="747D06DB"/>
    <w:rsid w:val="759E7AF8"/>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nhideWhenUsed="0" w:uiPriority="0" w:semiHidden="0"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qFormat="1" w:unhideWhenUsed="0" w:uiPriority="0" w:semiHidden="0"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character" w:default="1" w:styleId="9">
    <w:name w:val="Default Paragraph Font"/>
    <w:unhideWhenUsed/>
    <w:qFormat/>
    <w:uiPriority w:val="1"/>
  </w:style>
  <w:style w:type="table" w:default="1" w:styleId="8">
    <w:name w:val="Normal Table"/>
    <w:unhideWhenUsed/>
    <w:qFormat/>
    <w:uiPriority w:val="99"/>
    <w:tblPr>
      <w:tblCellMar>
        <w:top w:w="0" w:type="dxa"/>
        <w:left w:w="108" w:type="dxa"/>
        <w:bottom w:w="0" w:type="dxa"/>
        <w:right w:w="108" w:type="dxa"/>
      </w:tblCellMar>
    </w:tblPr>
  </w:style>
  <w:style w:type="paragraph" w:styleId="2">
    <w:name w:val="Body Text First Indent"/>
    <w:basedOn w:val="3"/>
    <w:qFormat/>
    <w:uiPriority w:val="0"/>
    <w:pPr>
      <w:ind w:firstLine="420" w:firstLineChars="100"/>
    </w:pPr>
    <w:rPr>
      <w:szCs w:val="20"/>
    </w:rPr>
  </w:style>
  <w:style w:type="paragraph" w:styleId="3">
    <w:name w:val="Body Text"/>
    <w:basedOn w:val="1"/>
    <w:qFormat/>
    <w:uiPriority w:val="0"/>
    <w:pPr>
      <w:spacing w:after="120"/>
    </w:pPr>
  </w:style>
  <w:style w:type="paragraph" w:styleId="4">
    <w:name w:val="Balloon Text"/>
    <w:basedOn w:val="1"/>
    <w:link w:val="12"/>
    <w:unhideWhenUsed/>
    <w:qFormat/>
    <w:uiPriority w:val="99"/>
    <w:rPr>
      <w:sz w:val="18"/>
      <w:szCs w:val="18"/>
    </w:rPr>
  </w:style>
  <w:style w:type="paragraph" w:styleId="5">
    <w:name w:val="footer"/>
    <w:basedOn w:val="1"/>
    <w:link w:val="13"/>
    <w:unhideWhenUsed/>
    <w:qFormat/>
    <w:uiPriority w:val="99"/>
    <w:pPr>
      <w:tabs>
        <w:tab w:val="center" w:pos="4153"/>
        <w:tab w:val="right" w:pos="8306"/>
      </w:tabs>
      <w:snapToGrid w:val="0"/>
      <w:jc w:val="left"/>
    </w:pPr>
    <w:rPr>
      <w:sz w:val="18"/>
      <w:szCs w:val="18"/>
    </w:rPr>
  </w:style>
  <w:style w:type="paragraph" w:styleId="6">
    <w:name w:val="header"/>
    <w:basedOn w:val="1"/>
    <w:link w:val="11"/>
    <w:unhideWhenUsed/>
    <w:qFormat/>
    <w:uiPriority w:val="0"/>
    <w:pPr>
      <w:pBdr>
        <w:bottom w:val="single" w:color="auto" w:sz="6" w:space="1"/>
      </w:pBdr>
      <w:tabs>
        <w:tab w:val="center" w:pos="4153"/>
        <w:tab w:val="right" w:pos="8306"/>
      </w:tabs>
      <w:snapToGrid w:val="0"/>
      <w:jc w:val="center"/>
    </w:pPr>
    <w:rPr>
      <w:sz w:val="18"/>
      <w:szCs w:val="18"/>
    </w:rPr>
  </w:style>
  <w:style w:type="paragraph" w:styleId="7">
    <w:name w:val="Body Text Indent 3"/>
    <w:basedOn w:val="1"/>
    <w:qFormat/>
    <w:uiPriority w:val="0"/>
    <w:pPr>
      <w:spacing w:line="360" w:lineRule="exact"/>
      <w:ind w:left="630" w:leftChars="300"/>
    </w:pPr>
    <w:rPr>
      <w:rFonts w:eastAsia="楷体_GB2312"/>
      <w:sz w:val="28"/>
    </w:rPr>
  </w:style>
  <w:style w:type="paragraph" w:customStyle="1" w:styleId="10">
    <w:name w:val="表格文字"/>
    <w:basedOn w:val="1"/>
    <w:qFormat/>
    <w:uiPriority w:val="0"/>
    <w:pPr>
      <w:spacing w:before="25" w:after="25"/>
    </w:pPr>
    <w:rPr>
      <w:bCs/>
      <w:spacing w:val="10"/>
    </w:rPr>
  </w:style>
  <w:style w:type="character" w:customStyle="1" w:styleId="11">
    <w:name w:val="页眉 字符"/>
    <w:basedOn w:val="9"/>
    <w:link w:val="6"/>
    <w:qFormat/>
    <w:uiPriority w:val="99"/>
    <w:rPr>
      <w:rFonts w:ascii="Times New Roman" w:hAnsi="Times New Roman" w:eastAsia="宋体" w:cs="Times New Roman"/>
      <w:sz w:val="18"/>
      <w:szCs w:val="18"/>
    </w:rPr>
  </w:style>
  <w:style w:type="character" w:customStyle="1" w:styleId="12">
    <w:name w:val="批注框文本 字符"/>
    <w:basedOn w:val="9"/>
    <w:link w:val="4"/>
    <w:semiHidden/>
    <w:qFormat/>
    <w:uiPriority w:val="99"/>
    <w:rPr>
      <w:rFonts w:ascii="Times New Roman" w:hAnsi="Times New Roman" w:eastAsia="宋体" w:cs="Times New Roman"/>
      <w:sz w:val="18"/>
      <w:szCs w:val="18"/>
    </w:rPr>
  </w:style>
  <w:style w:type="character" w:customStyle="1" w:styleId="13">
    <w:name w:val="页脚 字符"/>
    <w:basedOn w:val="9"/>
    <w:link w:val="5"/>
    <w:qFormat/>
    <w:uiPriority w:val="99"/>
    <w:rPr>
      <w:rFonts w:ascii="Times New Roman" w:hAnsi="Times New Roman" w:eastAsia="宋体" w:cs="Times New Roman"/>
      <w:sz w:val="18"/>
      <w:szCs w:val="18"/>
    </w:rPr>
  </w:style>
  <w:style w:type="character" w:customStyle="1" w:styleId="14">
    <w:name w:val="Char Char1"/>
    <w:qFormat/>
    <w:locked/>
    <w:uiPriority w:val="0"/>
    <w:rPr>
      <w:rFonts w:hint="eastAsia" w:ascii="宋体" w:hAnsi="Courier New" w:eastAsia="宋体"/>
      <w:kern w:val="2"/>
      <w:sz w:val="21"/>
      <w:lang w:val="en-US" w:eastAsia="zh-CN" w:bidi="ar-SA"/>
    </w:rPr>
  </w:style>
  <w:style w:type="paragraph" w:customStyle="1" w:styleId="15">
    <w:name w:val="Char"/>
    <w:basedOn w:val="1"/>
    <w:qFormat/>
    <w:uiPriority w:val="0"/>
    <w:rPr>
      <w:rFonts w:ascii="仿宋_GB2312" w:eastAsia="仿宋_GB2312"/>
      <w:b/>
      <w:sz w:val="32"/>
      <w:szCs w:val="32"/>
    </w:rPr>
  </w:style>
  <w:style w:type="paragraph" w:customStyle="1" w:styleId="16">
    <w:name w:val="_Style 2"/>
    <w:basedOn w:val="1"/>
    <w:qFormat/>
    <w:uiPriority w:val="34"/>
    <w:pPr>
      <w:ind w:firstLine="420" w:firstLineChars="200"/>
    </w:pPr>
    <w:rPr>
      <w:rFonts w:ascii="Calibri" w:hAnsi="Calibri"/>
      <w:sz w:val="24"/>
      <w:szCs w:val="22"/>
    </w:rPr>
  </w:style>
  <w:style w:type="paragraph" w:customStyle="1" w:styleId="17">
    <w:name w:val="正文 + 楷体_GB2312"/>
    <w:basedOn w:val="1"/>
    <w:qFormat/>
    <w:uiPriority w:val="0"/>
    <w:pPr>
      <w:ind w:firstLine="630" w:firstLineChars="300"/>
    </w:pPr>
    <w:rPr>
      <w:rFonts w:ascii="楷体_GB2312" w:eastAsia="楷体_GB2312"/>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1.xml"/><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8</Pages>
  <Words>3145</Words>
  <Characters>3408</Characters>
  <Lines>10</Lines>
  <Paragraphs>2</Paragraphs>
  <TotalTime>10</TotalTime>
  <ScaleCrop>false</ScaleCrop>
  <LinksUpToDate>false</LinksUpToDate>
  <CharactersWithSpaces>3683</CharactersWithSpaces>
  <Application>WPS Office_11.1.0.11365_F1E327BC-269C-435d-A152-05C5408002CA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2020-08-11T07:36:00Z</dcterms:created>
  <dc:creator>微软用户</dc:creator>
  <cp:lastModifiedBy>春华秋实</cp:lastModifiedBy>
  <dcterms:modified xsi:type="dcterms:W3CDTF">2022-04-26T21:24:40Z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FD27EBC61C2748A4BFAC8067CC66EFD8</vt:lpwstr>
  </property>
</Properties>
</file>