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河北泓林餐饮管理有限公司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30.05.00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总经理室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吉洁、杨园、周文廷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spacing w:line="360" w:lineRule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确定采购单—采购—验收入库—领用—饭菜加工—留样—提供就餐环境—清洗与保洁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烹制过程，材料配比、温度、时间。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食品安全法、食品安全国家标准 食品生产通用卫生规范、食品添加剂使用标准、食品接触材料及制品通用安全要求、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instrText xml:space="preserve"> HYPERLINK "http://std.samr.gov.cn/db/search/stdDBDetailed?id=91D99E4D56EC2E24E05397BE0A0A3A10" \t "http://std.samr.gov.cn/search/_blank"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t>DB13/T 2434-2016  高等学校学生食堂服务规范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色泽、味道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80645</wp:posOffset>
                  </wp:positionV>
                  <wp:extent cx="635000" cy="514350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u w:val="single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185420</wp:posOffset>
                  </wp:positionV>
                  <wp:extent cx="946785" cy="455930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7BA3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2022-05-04T03:02:23Z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