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3"/>
        <w:gridCol w:w="128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eastAsia="宋体"/>
                <w:b/>
                <w:sz w:val="22"/>
                <w:szCs w:val="22"/>
              </w:rPr>
              <w:t>重庆国本特卫保安服务有限公司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Q：35.12.00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HiddenHorzOCR" w:hAnsi="HiddenHorzOCR" w:eastAsia="HiddenHorzOCR" w:cs="HiddenHorzOCR"/>
                <w:color w:val="000000"/>
                <w:kern w:val="0"/>
                <w:sz w:val="21"/>
                <w:szCs w:val="21"/>
                <w:lang w:val="en-US" w:eastAsia="zh-CN" w:bidi="ar"/>
              </w:rPr>
              <w:t>私人保安活动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r>
              <w:rPr>
                <w:rFonts w:hint="eastAsia" w:eastAsia="宋体"/>
                <w:b/>
                <w:sz w:val="22"/>
                <w:szCs w:val="22"/>
              </w:rPr>
              <w:t>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宾馆会议室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24日19：00-20：00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保安服务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流程：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签订合同——人员派驻——实施服务——满意度回访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240" w:lineRule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保安服务流程风险：人员素质、服务质量达到客户要求、服务过程人员安全风险等；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风险控制措施：人员安全教育培训，制订操作规程及应急预案并演练等措施。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《保安服务管理条例》、《中华人民共和国消费者权益保护法》、《中华人民共和国安全消防法》、《中华人民共和国劳动合同法》、《中华人民共和国安全生产法》等。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保安服务考核内容：服务质量（安全性、及时性、态度等）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190500</wp:posOffset>
                  </wp:positionV>
                  <wp:extent cx="629285" cy="317500"/>
                  <wp:effectExtent l="0" t="0" r="10795" b="2540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2022年4月24日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2022年4月24日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rsids>
    <w:rsidRoot w:val="00000000"/>
    <w:rsid w:val="14B86F23"/>
    <w:rsid w:val="1CCC4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2022-04-24T07:40:40Z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