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0380-2022-EnMs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无锡市恒通电器有限公司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无锡市恒通电器有限公司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无锡市滨湖区太湖街道周新东路68号</w:t>
            </w:r>
            <w:bookmarkEnd w:id="6"/>
          </w:p>
        </w:tc>
        <w:tc>
          <w:tcPr>
            <w:tcW w:w="1242" w:type="dxa"/>
            <w:vMerge w:val="restart"/>
            <w:vAlign w:val="center"/>
          </w:tcPr>
          <w:p>
            <w:r>
              <w:rPr>
                <w:rFonts w:hint="eastAsia"/>
              </w:rPr>
              <w:t>邮编</w:t>
            </w:r>
          </w:p>
        </w:tc>
        <w:tc>
          <w:tcPr>
            <w:tcW w:w="1771" w:type="dxa"/>
          </w:tcPr>
          <w:p>
            <w:bookmarkStart w:id="7" w:name="注册邮编"/>
            <w:r>
              <w:t>214121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江苏省无锡市滨湖区太湖街道周新东路68号</w:t>
            </w:r>
            <w:bookmarkEnd w:id="8"/>
          </w:p>
        </w:tc>
        <w:tc>
          <w:tcPr>
            <w:tcW w:w="1242" w:type="dxa"/>
            <w:vMerge w:val="continue"/>
            <w:vAlign w:val="center"/>
          </w:tcPr>
          <w:p/>
        </w:tc>
        <w:tc>
          <w:tcPr>
            <w:tcW w:w="1771" w:type="dxa"/>
          </w:tcPr>
          <w:p>
            <w:bookmarkStart w:id="9" w:name="办公邮编"/>
            <w:r>
              <w:t>214121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吴滨</w:t>
            </w:r>
            <w:bookmarkEnd w:id="10"/>
          </w:p>
        </w:tc>
        <w:tc>
          <w:tcPr>
            <w:tcW w:w="1313" w:type="dxa"/>
            <w:vAlign w:val="center"/>
          </w:tcPr>
          <w:p>
            <w:r>
              <w:rPr>
                <w:rFonts w:hint="eastAsia"/>
              </w:rPr>
              <w:t>电话.</w:t>
            </w:r>
          </w:p>
        </w:tc>
        <w:tc>
          <w:tcPr>
            <w:tcW w:w="2180" w:type="dxa"/>
            <w:vAlign w:val="center"/>
          </w:tcPr>
          <w:p>
            <w:bookmarkStart w:id="11" w:name="联系人电话"/>
            <w:r>
              <w:t>13806193561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秦冬雷</w:t>
            </w:r>
            <w:bookmarkEnd w:id="13"/>
          </w:p>
        </w:tc>
        <w:tc>
          <w:tcPr>
            <w:tcW w:w="1313" w:type="dxa"/>
            <w:vAlign w:val="center"/>
          </w:tcPr>
          <w:p>
            <w:r>
              <w:rPr>
                <w:rFonts w:hint="eastAsia"/>
              </w:rPr>
              <w:t>管理者代表</w:t>
            </w:r>
          </w:p>
        </w:tc>
        <w:tc>
          <w:tcPr>
            <w:tcW w:w="2180" w:type="dxa"/>
          </w:tcPr>
          <w:p>
            <w:bookmarkStart w:id="14" w:name="管理者代表"/>
            <w:r>
              <w:t>吴滨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pPr>
            <w:r>
              <w:rPr>
                <w:rFonts w:hint="eastAsia" w:asciiTheme="minorHAnsi" w:hAnsiTheme="minorHAnsi" w:eastAsiaTheme="minorEastAsia" w:cstheme="minorBidi"/>
                <w:b/>
                <w:bCs/>
                <w:kern w:val="2"/>
                <w:sz w:val="21"/>
                <w:szCs w:val="22"/>
                <w:lang w:val="en-US" w:eastAsia="zh-CN" w:bidi="ar-SA"/>
              </w:rPr>
              <w:t>线路板贴片 →回流焊 →波峰焊 →清洗→调试→防漆涂覆 →整机装配→整机测试 →包装；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2022年04月28日 上午至2022年04月30日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Times New Roman" w:hAnsi="Times New Roman" w:eastAsia="宋体" w:cs="Times New Roman"/>
              </w:rPr>
            </w:pPr>
            <w:r>
              <w:rPr>
                <w:rFonts w:hint="eastAsia"/>
                <w:lang w:val="de-DE"/>
              </w:rPr>
              <w:sym w:font="Wingdings 2" w:char="0052"/>
            </w:r>
            <w:r>
              <w:rPr>
                <w:rFonts w:hint="eastAsia" w:ascii="Times New Roman" w:hAnsi="Times New Roman" w:eastAsia="宋体" w:cs="Times New Roman"/>
                <w:lang w:val="de-DE"/>
              </w:rPr>
              <w:t xml:space="preserve">RB/T </w:t>
            </w:r>
            <w:r>
              <w:rPr>
                <w:rFonts w:hint="eastAsia" w:ascii="Times New Roman" w:hAnsi="Times New Roman" w:eastAsia="宋体" w:cs="Times New Roman"/>
              </w:rPr>
              <w:t>119-2015 能源管理体系 机械制造企业认证要求</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河北省石家庄市/深圳市/湖北省荆门市/江苏省无锡市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智能电表生产所涉及的能源管理活动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30"/>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30" w:type="dxa"/>
            <w:shd w:val="clear" w:color="auto" w:fill="F3F3F3"/>
            <w:tcMar>
              <w:left w:w="57" w:type="dxa"/>
              <w:right w:w="57" w:type="dxa"/>
            </w:tcMar>
          </w:tcPr>
          <w:p>
            <w:r>
              <w:rPr>
                <w:rFonts w:hint="eastAsia"/>
              </w:rPr>
              <w:t>审核范围（产品和过程）（注：FSMS/HACCP要明确到车间）</w:t>
            </w:r>
          </w:p>
        </w:tc>
        <w:tc>
          <w:tcPr>
            <w:tcW w:w="174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无锡市恒通电器有限公司</w:t>
            </w:r>
            <w:r>
              <w:rPr>
                <w:rFonts w:hint="eastAsia" w:asciiTheme="minorEastAsia" w:hAnsiTheme="minorEastAsia" w:eastAsiaTheme="minorEastAsia"/>
                <w:sz w:val="20"/>
                <w:lang w:val="en-US" w:eastAsia="zh-CN"/>
              </w:rPr>
              <w:t>/</w:t>
            </w:r>
            <w:r>
              <w:rPr>
                <w:rFonts w:asciiTheme="minorEastAsia" w:hAnsiTheme="minorEastAsia" w:eastAsiaTheme="minorEastAsia"/>
                <w:sz w:val="20"/>
              </w:rPr>
              <w:t>无锡市滨湖区太湖街道周新东路68号</w:t>
            </w:r>
          </w:p>
        </w:tc>
        <w:tc>
          <w:tcPr>
            <w:tcW w:w="2267" w:type="dxa"/>
          </w:tcPr>
          <w:p>
            <w:pPr>
              <w:rPr>
                <w:lang w:val="de-DE" w:eastAsia="ja-JP"/>
              </w:rPr>
            </w:pPr>
            <w:r>
              <w:rPr>
                <w:rFonts w:hint="eastAsia" w:asciiTheme="minorEastAsia" w:hAnsiTheme="minorEastAsia" w:eastAsiaTheme="minorEastAsia"/>
                <w:sz w:val="20"/>
                <w:lang w:val="en-US" w:eastAsia="zh-CN"/>
              </w:rPr>
              <w:t>江苏省</w:t>
            </w:r>
            <w:r>
              <w:rPr>
                <w:rFonts w:asciiTheme="minorEastAsia" w:hAnsiTheme="minorEastAsia" w:eastAsiaTheme="minorEastAsia"/>
                <w:sz w:val="20"/>
              </w:rPr>
              <w:t>无锡市滨湖区太湖街道周新东路68号</w:t>
            </w:r>
          </w:p>
        </w:tc>
        <w:tc>
          <w:tcPr>
            <w:tcW w:w="571" w:type="dxa"/>
            <w:vAlign w:val="center"/>
          </w:tcPr>
          <w:p>
            <w:pPr>
              <w:rPr>
                <w:rFonts w:hint="default" w:eastAsia="宋体"/>
                <w:lang w:val="en-US" w:eastAsia="zh-CN"/>
              </w:rPr>
            </w:pPr>
            <w:r>
              <w:rPr>
                <w:rFonts w:hint="eastAsia"/>
                <w:lang w:val="en-US" w:eastAsia="zh-CN"/>
              </w:rPr>
              <w:t>140</w:t>
            </w:r>
          </w:p>
        </w:tc>
        <w:tc>
          <w:tcPr>
            <w:tcW w:w="1730" w:type="dxa"/>
            <w:vAlign w:val="center"/>
          </w:tcPr>
          <w:p>
            <w:pPr>
              <w:rPr>
                <w:lang w:eastAsia="ja-JP"/>
              </w:rPr>
            </w:pPr>
            <w:r>
              <w:t>智能电表生产所涉及的能源管理活动</w:t>
            </w:r>
          </w:p>
        </w:tc>
        <w:tc>
          <w:tcPr>
            <w:tcW w:w="1742"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ascii="Times New Roman" w:hAnsi="Times New Roman" w:eastAsia="宋体" w:cs="Times New Roman"/>
                <w:kern w:val="2"/>
                <w:sz w:val="21"/>
                <w:szCs w:val="24"/>
                <w:lang w:val="en-US" w:eastAsia="ja-JP" w:bidi="ar-SA"/>
              </w:rPr>
            </w:pPr>
            <w:r>
              <w:rPr>
                <w:rFonts w:hint="eastAsia" w:eastAsia="黑体"/>
                <w:szCs w:val="21"/>
                <w:lang w:val="en-US" w:eastAsia="zh-CN"/>
              </w:rPr>
              <w:t>RB/T 119-2015</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0" w:type="dxa"/>
            <w:vAlign w:val="center"/>
          </w:tcPr>
          <w:p>
            <w:pPr>
              <w:rPr>
                <w:lang w:eastAsia="ja-JP"/>
              </w:rPr>
            </w:pPr>
          </w:p>
        </w:tc>
        <w:tc>
          <w:tcPr>
            <w:tcW w:w="17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0" w:type="dxa"/>
            <w:vAlign w:val="center"/>
          </w:tcPr>
          <w:p>
            <w:pPr>
              <w:rPr>
                <w:lang w:eastAsia="ja-JP"/>
              </w:rPr>
            </w:pPr>
          </w:p>
        </w:tc>
        <w:tc>
          <w:tcPr>
            <w:tcW w:w="17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0" w:type="dxa"/>
            <w:vAlign w:val="center"/>
          </w:tcPr>
          <w:p>
            <w:pPr>
              <w:rPr>
                <w:lang w:eastAsia="ja-JP"/>
              </w:rPr>
            </w:pPr>
          </w:p>
        </w:tc>
        <w:tc>
          <w:tcPr>
            <w:tcW w:w="17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0" w:type="dxa"/>
            <w:vAlign w:val="center"/>
          </w:tcPr>
          <w:p>
            <w:pPr>
              <w:rPr>
                <w:lang w:eastAsia="ja-JP"/>
              </w:rPr>
            </w:pPr>
          </w:p>
        </w:tc>
        <w:tc>
          <w:tcPr>
            <w:tcW w:w="1742"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2021-N0EnMS-1082241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徐申</w:t>
            </w:r>
          </w:p>
        </w:tc>
        <w:tc>
          <w:tcPr>
            <w:tcW w:w="1089" w:type="dxa"/>
            <w:vAlign w:val="center"/>
          </w:tcPr>
          <w:p>
            <w:r>
              <w:t>组员</w:t>
            </w:r>
          </w:p>
        </w:tc>
        <w:tc>
          <w:tcPr>
            <w:tcW w:w="711" w:type="dxa"/>
            <w:vAlign w:val="center"/>
          </w:tcPr>
          <w:p>
            <w:r>
              <w:t>男</w:t>
            </w:r>
          </w:p>
        </w:tc>
        <w:tc>
          <w:tcPr>
            <w:tcW w:w="3870" w:type="dxa"/>
            <w:vAlign w:val="center"/>
          </w:tcPr>
          <w:p>
            <w:r>
              <w:t>ISC-JSZJ-526</w:t>
            </w:r>
          </w:p>
          <w:p>
            <w:r>
              <w:t>无锡先锋电机有限公司</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办公室 </w:t>
            </w:r>
            <w:r>
              <w:rPr>
                <w:rFonts w:hint="eastAsia"/>
              </w:rPr>
              <w:sym w:font="Wingdings 2" w:char="0052"/>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吴滨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A3"/>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rPr>
                <w:rFonts w:hint="default" w:eastAsia="宋体"/>
                <w:lang w:val="en-US" w:eastAsia="zh-CN"/>
              </w:rPr>
            </w:pPr>
            <w:r>
              <w:rPr>
                <w:rFonts w:hint="eastAsia"/>
              </w:rPr>
              <w:sym w:font="Wingdings 2" w:char="00A3"/>
            </w:r>
            <w:r>
              <w:rPr>
                <w:rFonts w:hint="eastAsia"/>
              </w:rPr>
              <w:t>其他</w:t>
            </w:r>
            <w:r>
              <w:rPr>
                <w:rFonts w:hint="eastAsia"/>
                <w:lang w:val="en-US" w:eastAsia="zh-CN"/>
              </w:rPr>
              <w:t>汽油</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lang w:val="en-US" w:eastAsia="zh-CN"/>
              </w:rPr>
              <w:t>2022.1.28</w:t>
            </w:r>
          </w:p>
          <w:p>
            <w:pPr>
              <w:shd w:val="clear" w:color="auto" w:fill="EBF1DE" w:themeFill="accent3" w:themeFillTint="32"/>
            </w:pPr>
            <w:r>
              <w:rPr>
                <w:rFonts w:hint="eastAsia"/>
              </w:rPr>
              <w:t>□节能项目验收报告编号/日期：</w:t>
            </w:r>
            <w:bookmarkStart w:id="34" w:name="_GoBack"/>
            <w:bookmarkEnd w:id="34"/>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color w:val="000000"/>
                      <w:szCs w:val="18"/>
                      <w:highlight w:val="none"/>
                      <w:lang w:val="en-US" w:eastAsia="zh-CN"/>
                    </w:rPr>
                    <w:t>2021</w:t>
                  </w:r>
                  <w:r>
                    <w:rPr>
                      <w:rFonts w:hint="eastAsia"/>
                      <w:color w:val="000000"/>
                      <w:szCs w:val="18"/>
                      <w:highlight w:val="none"/>
                    </w:rPr>
                    <w:t>综合能耗</w:t>
                  </w:r>
                  <w:r>
                    <w:rPr>
                      <w:rFonts w:hint="eastAsia"/>
                      <w:color w:val="000000"/>
                      <w:szCs w:val="18"/>
                      <w:highlight w:val="none"/>
                      <w:lang w:val="en-US" w:eastAsia="zh-CN"/>
                    </w:rPr>
                    <w:t>85tce</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GB" w:eastAsia="zh-CN" w:bidi="ar-SA"/>
                    </w:rPr>
                  </w:pPr>
                  <w:r>
                    <w:rPr>
                      <w:rFonts w:hint="eastAsia"/>
                      <w:highlight w:val="none"/>
                      <w:lang w:val="en-US" w:eastAsia="zh-CN"/>
                    </w:rPr>
                    <w:t>生产部</w:t>
                  </w:r>
                </w:p>
              </w:tc>
              <w:tc>
                <w:tcPr>
                  <w:tcW w:w="2797" w:type="dxa"/>
                  <w:shd w:val="clear" w:color="auto" w:fill="auto"/>
                  <w:vAlign w:val="top"/>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指标完成</w:t>
                  </w:r>
                </w:p>
                <w:p>
                  <w:pPr>
                    <w:widowControl/>
                    <w:spacing w:before="40"/>
                    <w:jc w:val="left"/>
                    <w:rPr>
                      <w:rFonts w:ascii="宋体" w:hAnsi="宋体" w:eastAsia="宋体" w:cs="Times New Roman"/>
                      <w:kern w:val="2"/>
                      <w:sz w:val="21"/>
                      <w:szCs w:val="24"/>
                      <w:highlight w:val="yellow"/>
                      <w:lang w:val="en-GB" w:eastAsia="zh-CN" w:bidi="ar-SA"/>
                    </w:rPr>
                  </w:pPr>
                  <w:r>
                    <w:rPr>
                      <w:rFonts w:hint="eastAsia"/>
                      <w:color w:val="000000"/>
                      <w:szCs w:val="18"/>
                      <w:highlight w:val="none"/>
                    </w:rPr>
                    <w:t>2021</w:t>
                  </w:r>
                  <w:r>
                    <w:rPr>
                      <w:rFonts w:hint="eastAsia"/>
                      <w:color w:val="000000"/>
                      <w:szCs w:val="18"/>
                      <w:highlight w:val="none"/>
                      <w:lang w:val="en-US" w:eastAsia="zh-CN"/>
                    </w:rPr>
                    <w:t>年实际完成</w:t>
                  </w:r>
                  <w:r>
                    <w:rPr>
                      <w:rFonts w:hint="eastAsia" w:ascii="Times New Roman" w:hAnsi="Times New Roman" w:eastAsia="宋体" w:cs="Times New Roman"/>
                      <w:color w:val="000000"/>
                      <w:szCs w:val="18"/>
                      <w:highlight w:val="none"/>
                      <w:lang w:val="en-US" w:eastAsia="zh-CN"/>
                    </w:rPr>
                    <w:t>82.424</w:t>
                  </w:r>
                  <w:r>
                    <w:rPr>
                      <w:rFonts w:hint="eastAsia"/>
                      <w:color w:val="000000"/>
                      <w:szCs w:val="18"/>
                      <w:highlight w:val="none"/>
                      <w:lang w:val="en-US" w:eastAsia="zh-CN"/>
                    </w:rPr>
                    <w:t>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top"/>
                </w:tcPr>
                <w:p>
                  <w:pPr>
                    <w:widowControl/>
                    <w:spacing w:before="40"/>
                    <w:jc w:val="left"/>
                    <w:rPr>
                      <w:rFonts w:ascii="Times New Roman" w:hAnsi="Times New Roman" w:eastAsia="宋体" w:cs="Times New Roman"/>
                      <w:kern w:val="2"/>
                      <w:sz w:val="21"/>
                      <w:szCs w:val="24"/>
                      <w:highlight w:val="yellow"/>
                      <w:lang w:val="en-US" w:eastAsia="zh-CN" w:bidi="ar-SA"/>
                    </w:rPr>
                  </w:pPr>
                  <w:r>
                    <w:rPr>
                      <w:rFonts w:hint="eastAsia"/>
                      <w:color w:val="000000"/>
                      <w:szCs w:val="18"/>
                      <w:highlight w:val="none"/>
                    </w:rPr>
                    <w:t>2021年</w:t>
                  </w:r>
                  <w:r>
                    <w:rPr>
                      <w:rFonts w:hint="eastAsia"/>
                      <w:color w:val="000000"/>
                      <w:szCs w:val="18"/>
                      <w:highlight w:val="none"/>
                      <w:lang w:val="en-US" w:eastAsia="zh-CN"/>
                    </w:rPr>
                    <w:t>单位产品</w:t>
                  </w:r>
                  <w:r>
                    <w:rPr>
                      <w:rFonts w:hint="eastAsia"/>
                      <w:color w:val="000000"/>
                      <w:szCs w:val="18"/>
                      <w:highlight w:val="none"/>
                    </w:rPr>
                    <w:t>综合能耗</w:t>
                  </w:r>
                  <w:r>
                    <w:rPr>
                      <w:rFonts w:hint="eastAsia"/>
                      <w:color w:val="000000"/>
                      <w:szCs w:val="18"/>
                      <w:highlight w:val="none"/>
                      <w:lang w:val="en-US" w:eastAsia="zh-CN"/>
                    </w:rPr>
                    <w:t>0.08Kgce/只</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r>
                    <w:rPr>
                      <w:rFonts w:hint="eastAsia" w:ascii="宋体" w:hAnsi="宋体"/>
                      <w:highlight w:val="none"/>
                      <w:lang w:val="en-US" w:eastAsia="zh-CN"/>
                    </w:rPr>
                    <w:t>生产部</w:t>
                  </w:r>
                </w:p>
              </w:tc>
              <w:tc>
                <w:tcPr>
                  <w:tcW w:w="2797" w:type="dxa"/>
                  <w:shd w:val="clear" w:color="auto" w:fill="auto"/>
                  <w:vAlign w:val="top"/>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指标完成</w:t>
                  </w:r>
                </w:p>
                <w:p>
                  <w:pPr>
                    <w:widowControl/>
                    <w:spacing w:before="40"/>
                    <w:jc w:val="left"/>
                    <w:rPr>
                      <w:rFonts w:hint="default" w:ascii="宋体" w:hAnsi="宋体" w:eastAsia="宋体" w:cs="Times New Roman"/>
                      <w:kern w:val="2"/>
                      <w:sz w:val="21"/>
                      <w:szCs w:val="24"/>
                      <w:highlight w:val="yellow"/>
                      <w:lang w:val="en-US" w:eastAsia="zh-CN" w:bidi="ar-SA"/>
                    </w:rPr>
                  </w:pPr>
                  <w:r>
                    <w:rPr>
                      <w:rFonts w:hint="eastAsia"/>
                      <w:color w:val="000000"/>
                      <w:szCs w:val="18"/>
                      <w:highlight w:val="none"/>
                    </w:rPr>
                    <w:t>2021年</w:t>
                  </w:r>
                  <w:r>
                    <w:rPr>
                      <w:rFonts w:hint="eastAsia"/>
                      <w:color w:val="000000"/>
                      <w:szCs w:val="18"/>
                      <w:highlight w:val="none"/>
                      <w:lang w:val="en-US" w:eastAsia="zh-CN"/>
                    </w:rPr>
                    <w:t>实际完0.079kgce/只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yellow"/>
                    </w:rPr>
                  </w:pPr>
                  <w:r>
                    <w:rPr>
                      <w:rFonts w:hint="eastAsia"/>
                      <w:color w:val="000000"/>
                      <w:szCs w:val="18"/>
                      <w:highlight w:val="none"/>
                      <w:lang w:val="en-US" w:eastAsia="zh-CN"/>
                    </w:rPr>
                    <w:t>2021年单位产值综合能耗0.60tce/万元</w:t>
                  </w:r>
                </w:p>
              </w:tc>
              <w:tc>
                <w:tcPr>
                  <w:tcW w:w="2354" w:type="dxa"/>
                  <w:shd w:val="clear" w:color="auto" w:fill="auto"/>
                  <w:vAlign w:val="center"/>
                </w:tcPr>
                <w:p>
                  <w:pPr>
                    <w:shd w:val="clear" w:color="auto" w:fill="EBF1DE" w:themeFill="accent3" w:themeFillTint="32"/>
                    <w:rPr>
                      <w:rFonts w:hint="default" w:ascii="宋体" w:hAnsi="宋体"/>
                      <w:highlight w:val="yellow"/>
                      <w:lang w:val="en-US"/>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default" w:ascii="宋体" w:hAnsi="宋体" w:eastAsia="宋体"/>
                      <w:highlight w:val="yellow"/>
                      <w:lang w:val="en-US" w:eastAsia="zh-CN"/>
                    </w:rPr>
                  </w:pPr>
                  <w:r>
                    <w:rPr>
                      <w:rFonts w:hint="eastAsia" w:ascii="宋体" w:hAnsi="宋体"/>
                      <w:highlight w:val="none"/>
                      <w:lang w:val="en-US" w:eastAsia="zh-CN"/>
                    </w:rPr>
                    <w:t>生产部/财务部</w:t>
                  </w:r>
                </w:p>
              </w:tc>
              <w:tc>
                <w:tcPr>
                  <w:tcW w:w="2797" w:type="dxa"/>
                  <w:shd w:val="clear" w:color="auto" w:fill="auto"/>
                  <w:vAlign w:val="center"/>
                </w:tcPr>
                <w:p>
                  <w:pPr>
                    <w:shd w:val="clear" w:color="auto" w:fill="EBF1DE" w:themeFill="accent3" w:themeFillTint="32"/>
                    <w:jc w:val="left"/>
                    <w:rPr>
                      <w:rFonts w:hint="eastAsia"/>
                      <w:color w:val="000000"/>
                      <w:szCs w:val="18"/>
                      <w:highlight w:val="none"/>
                      <w:lang w:val="en-US" w:eastAsia="zh-CN"/>
                    </w:rPr>
                  </w:pPr>
                  <w:r>
                    <w:rPr>
                      <w:rFonts w:hint="eastAsia"/>
                      <w:color w:val="000000"/>
                      <w:szCs w:val="18"/>
                      <w:highlight w:val="none"/>
                      <w:lang w:val="en-US" w:eastAsia="zh-CN"/>
                    </w:rPr>
                    <w:t>指标完成；</w:t>
                  </w:r>
                </w:p>
                <w:p>
                  <w:pPr>
                    <w:shd w:val="clear" w:color="auto" w:fill="EBF1DE" w:themeFill="accent3" w:themeFillTint="32"/>
                    <w:jc w:val="left"/>
                    <w:rPr>
                      <w:rFonts w:hint="default" w:ascii="宋体" w:hAnsi="宋体"/>
                      <w:highlight w:val="yellow"/>
                      <w:lang w:val="en-US"/>
                    </w:rPr>
                  </w:pPr>
                  <w:r>
                    <w:rPr>
                      <w:rFonts w:hint="eastAsia"/>
                      <w:color w:val="000000"/>
                      <w:szCs w:val="18"/>
                      <w:highlight w:val="none"/>
                    </w:rPr>
                    <w:t>2021年</w:t>
                  </w:r>
                  <w:r>
                    <w:rPr>
                      <w:rFonts w:hint="eastAsia"/>
                      <w:color w:val="000000"/>
                      <w:szCs w:val="18"/>
                      <w:highlight w:val="none"/>
                      <w:lang w:val="en-US" w:eastAsia="zh-CN"/>
                    </w:rPr>
                    <w:t>实际完成0.52tce/万元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4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highlight w:val="none"/>
                <w:lang w:val="en-US" w:eastAsia="zh-CN"/>
              </w:rPr>
              <w:t>5000</w:t>
            </w:r>
            <w:r>
              <w:rPr>
                <w:rFonts w:hint="eastAsia"/>
              </w:rPr>
              <w:t>平方米；生产车间</w:t>
            </w:r>
            <w:r>
              <w:rPr>
                <w:rFonts w:hint="eastAsia"/>
                <w:lang w:val="en-US" w:eastAsia="zh-CN"/>
              </w:rPr>
              <w:t>1</w:t>
            </w:r>
            <w:r>
              <w:rPr>
                <w:rFonts w:hint="eastAsia"/>
              </w:rPr>
              <w:t>个</w:t>
            </w:r>
            <w:r>
              <w:rPr>
                <w:rFonts w:hint="eastAsia"/>
                <w:lang w:eastAsia="zh-CN"/>
              </w:rPr>
              <w:t>（</w:t>
            </w:r>
            <w:r>
              <w:rPr>
                <w:rFonts w:hint="eastAsia"/>
                <w:sz w:val="21"/>
                <w:szCs w:val="21"/>
                <w:lang w:val="en-US" w:eastAsia="zh-CN"/>
              </w:rPr>
              <w:t>智能电表生产车间</w:t>
            </w:r>
            <w:r>
              <w:rPr>
                <w:rFonts w:hint="eastAsia"/>
                <w:lang w:eastAsia="zh-CN"/>
              </w:rPr>
              <w:t>）</w:t>
            </w:r>
            <w:r>
              <w:rPr>
                <w:rFonts w:hint="eastAsia"/>
              </w:rPr>
              <w:t>；库房</w:t>
            </w:r>
            <w:r>
              <w:rPr>
                <w:rFonts w:hint="eastAsia"/>
                <w:lang w:val="en-US" w:eastAsia="zh-CN"/>
              </w:rPr>
              <w:t>1</w:t>
            </w:r>
            <w:r>
              <w:rPr>
                <w:rFonts w:hint="eastAsia"/>
              </w:rPr>
              <w:t>个；实验室</w:t>
            </w:r>
            <w:r>
              <w:rPr>
                <w:rFonts w:hint="eastAsia"/>
                <w:lang w:val="en-US" w:eastAsia="zh-CN"/>
              </w:rPr>
              <w:t>——</w:t>
            </w:r>
            <w:r>
              <w:rPr>
                <w:rFonts w:hint="eastAsia"/>
              </w:rPr>
              <w:t>个；</w:t>
            </w:r>
          </w:p>
          <w:p>
            <w:pPr>
              <w:shd w:val="clear" w:color="auto" w:fill="EBF1DE" w:themeFill="accent3" w:themeFillTint="32"/>
              <w:rPr>
                <w:u w:val="single"/>
              </w:rPr>
            </w:pPr>
            <w:r>
              <w:rPr>
                <w:rFonts w:hint="eastAsia"/>
              </w:rPr>
              <w:t>主要生产设备有：</w:t>
            </w:r>
            <w:r>
              <w:rPr>
                <w:rFonts w:hint="eastAsia"/>
                <w:sz w:val="21"/>
                <w:szCs w:val="21"/>
                <w:u w:val="single"/>
                <w:lang w:val="en-US" w:eastAsia="zh-CN"/>
              </w:rPr>
              <w:t>回流焊设备、双波峰焊机、高温老化室</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sz w:val="21"/>
                <w:szCs w:val="21"/>
                <w:u w:val="single"/>
                <w:lang w:val="en-US" w:eastAsia="zh-CN"/>
              </w:rPr>
              <w:t>自动温度控制烘干炉、高温老化室</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A3"/>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一级计量如电表、水表</w:t>
            </w:r>
            <w:r>
              <w:rPr>
                <w:rFonts w:hint="eastAsia"/>
                <w:highlight w:val="none"/>
                <w:lang w:val="en-US" w:eastAsia="zh-CN"/>
              </w:rPr>
              <w:t>由供方校验</w:t>
            </w:r>
            <w:r>
              <w:rPr>
                <w:rFonts w:hint="eastAsia"/>
                <w:lang w:val="en-US" w:eastAsia="zh-CN"/>
              </w:rPr>
              <w:t>。已与企业进行沟通，建议向供方获取检定或校准资料。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cs="Times New Roman"/>
                <w:bCs w:val="0"/>
                <w:spacing w:val="0"/>
                <w:kern w:val="2"/>
                <w:sz w:val="21"/>
                <w:szCs w:val="22"/>
                <w:u w:val="single"/>
                <w:lang w:val="en-US" w:eastAsia="zh-CN" w:bidi="ar-SA"/>
              </w:rPr>
              <w:t>符合国网江西省电力有限公司2021年第1批智能电能表技术规范的电能表开发</w:t>
            </w:r>
            <w:r>
              <w:rPr>
                <w:rFonts w:hint="eastAsia"/>
                <w:highlight w:val="none"/>
                <w:u w:val="single"/>
              </w:rPr>
              <w:t>（</w:t>
            </w:r>
            <w:r>
              <w:rPr>
                <w:rFonts w:hint="eastAsia"/>
                <w:highlight w:val="none"/>
              </w:rPr>
              <w:t>举1例）</w:t>
            </w:r>
          </w:p>
          <w:p>
            <w:pPr>
              <w:shd w:val="clear" w:color="auto" w:fill="EBF1DE" w:themeFill="accent3" w:themeFillTint="32"/>
              <w:rPr>
                <w:rFonts w:hint="default" w:eastAsia="宋体"/>
                <w:highlight w:val="yellow"/>
                <w:lang w:val="en-US" w:eastAsia="zh-CN"/>
              </w:rPr>
            </w:pPr>
            <w:r>
              <w:rPr>
                <w:rFonts w:hint="eastAsia"/>
              </w:rPr>
              <w:t>对该设计和开发的项目进行了</w:t>
            </w:r>
            <w:r>
              <w:rPr>
                <w:rFonts w:hint="eastAsia"/>
                <w:lang w:val="en-US" w:eastAsia="zh-CN"/>
              </w:rPr>
              <w:t>项目建议书、设计输入、输出、评审、验证、更改等环节</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节约用气，食堂做到用火随开随关</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加强节电管理，提高用电设备效率</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highlight w:val="none"/>
                <w:lang w:eastAsia="zh-CN"/>
              </w:rPr>
              <w:sym w:font="Wingdings 2" w:char="0052"/>
            </w:r>
            <w:r>
              <w:rPr>
                <w:rFonts w:hint="eastAsia"/>
                <w:highlight w:val="none"/>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9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223"/>
        <w:gridCol w:w="780"/>
        <w:gridCol w:w="740"/>
        <w:gridCol w:w="760"/>
        <w:gridCol w:w="770"/>
        <w:gridCol w:w="730"/>
        <w:gridCol w:w="770"/>
        <w:gridCol w:w="860"/>
        <w:gridCol w:w="780"/>
        <w:gridCol w:w="77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3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6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30" w:type="dxa"/>
            <w:shd w:val="clear" w:color="auto" w:fill="EBF1DE" w:themeFill="accent3" w:themeFillTint="32"/>
            <w:vAlign w:val="center"/>
          </w:tcPr>
          <w:p>
            <w:pPr>
              <w:shd w:val="clear" w:color="auto" w:fill="EBF1DE" w:themeFill="accent3" w:themeFillTint="32"/>
            </w:pPr>
            <w:r>
              <w:rPr>
                <w:rFonts w:hint="eastAsia"/>
              </w:rPr>
              <w:t>7.2</w:t>
            </w:r>
          </w:p>
        </w:tc>
        <w:tc>
          <w:tcPr>
            <w:tcW w:w="770" w:type="dxa"/>
            <w:shd w:val="clear" w:color="auto" w:fill="EBF1DE" w:themeFill="accent3" w:themeFillTint="32"/>
            <w:vAlign w:val="center"/>
          </w:tcPr>
          <w:p>
            <w:pPr>
              <w:shd w:val="clear" w:color="auto" w:fill="EBF1DE" w:themeFill="accent3" w:themeFillTint="32"/>
            </w:pPr>
            <w:r>
              <w:rPr>
                <w:rFonts w:hint="eastAsia"/>
              </w:rPr>
              <w:t>7.3</w:t>
            </w:r>
          </w:p>
        </w:tc>
        <w:tc>
          <w:tcPr>
            <w:tcW w:w="860" w:type="dxa"/>
            <w:shd w:val="clear" w:color="auto" w:fill="EBF1DE" w:themeFill="accent3" w:themeFillTint="32"/>
            <w:vAlign w:val="center"/>
          </w:tcPr>
          <w:p>
            <w:pPr>
              <w:shd w:val="clear" w:color="auto" w:fill="EBF1DE" w:themeFill="accent3" w:themeFillTint="32"/>
            </w:pPr>
            <w:r>
              <w:rPr>
                <w:rFonts w:hint="eastAsia"/>
              </w:rPr>
              <w:t>7.4</w:t>
            </w:r>
          </w:p>
        </w:tc>
        <w:tc>
          <w:tcPr>
            <w:tcW w:w="780" w:type="dxa"/>
            <w:shd w:val="clear" w:color="auto" w:fill="EBF1DE" w:themeFill="accent3" w:themeFillTint="32"/>
            <w:vAlign w:val="center"/>
          </w:tcPr>
          <w:p>
            <w:pPr>
              <w:shd w:val="clear" w:color="auto" w:fill="EBF1DE" w:themeFill="accent3" w:themeFillTint="32"/>
            </w:pPr>
            <w:r>
              <w:rPr>
                <w:rFonts w:hint="eastAsia"/>
              </w:rPr>
              <w:t>7.5</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pPr>
            <w:r>
              <w:rPr>
                <w:rFonts w:hint="eastAsia"/>
              </w:rPr>
              <w:t>8.3</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E01087D"/>
    <w:rsid w:val="563C463D"/>
    <w:rsid w:val="60FF31C9"/>
    <w:rsid w:val="61BF5C93"/>
    <w:rsid w:val="7ABF2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2022-04-30T21:30:29Z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