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BOPP薄膜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厚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b/>
          <w:bCs w:val="0"/>
          <w:sz w:val="24"/>
        </w:rPr>
        <w:t>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bookmarkStart w:id="0" w:name="_Toc22720_WPSOffice_Level1"/>
      <w:r>
        <w:rPr>
          <w:rFonts w:ascii="Times New Roman" w:hAnsi="Times New Roman"/>
        </w:rPr>
        <w:t>Q/GDW-</w:t>
      </w:r>
      <w:r>
        <w:rPr>
          <w:rFonts w:hint="eastAsia" w:ascii="Times New Roman" w:hAnsi="Times New Roman"/>
        </w:rPr>
        <w:t>SJCP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 016-</w:t>
      </w:r>
      <w:r>
        <w:rPr>
          <w:rFonts w:ascii="Times New Roman" w:hAnsi="Times New Roman"/>
        </w:rPr>
        <w:t>2020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塑料薄膜检测作业指导书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》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bookmarkStart w:id="2" w:name="_GoBack"/>
      <w:bookmarkEnd w:id="2"/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</w:t>
      </w:r>
      <w:r>
        <w:rPr>
          <w:rFonts w:hint="eastAsia" w:cs="Times New Roman"/>
          <w:sz w:val="24"/>
          <w:szCs w:val="24"/>
          <w:lang w:val="en-US" w:eastAsia="zh-CN"/>
        </w:rPr>
        <w:t>1000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</w:t>
      </w:r>
      <w:r>
        <w:rPr>
          <w:rFonts w:hint="eastAsia" w:cs="Times New Roman"/>
          <w:sz w:val="24"/>
          <w:szCs w:val="24"/>
          <w:lang w:val="en-US" w:eastAsia="zh-CN"/>
        </w:rPr>
        <w:t>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m测厚仪，</w:t>
      </w:r>
      <w:r>
        <w:rPr>
          <w:sz w:val="24"/>
        </w:rPr>
        <w:t>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书出具的最大允许误差±0.</w:t>
      </w:r>
      <w:r>
        <w:rPr>
          <w:rFonts w:hint="eastAsia" w:cs="Times New Roman"/>
          <w:sz w:val="24"/>
          <w:szCs w:val="24"/>
          <w:lang w:val="en-US" w:eastAsia="zh-CN"/>
        </w:rPr>
        <w:t>2μm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厚</w:t>
      </w:r>
      <w:r>
        <w:rPr>
          <w:rFonts w:hint="eastAsia" w:cs="Times New Roman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0.5</w:t>
      </w:r>
      <w:r>
        <w:rPr>
          <w:rFonts w:hint="eastAsia" w:ascii="宋体" w:hAnsi="宋体" w:eastAsia="宋体" w:cs="宋体"/>
          <w:sz w:val="24"/>
          <w:szCs w:val="24"/>
        </w:rPr>
        <w:t>）µm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ascii="Times New Roman" w:hAnsi="Times New Roman"/>
          <w:sz w:val="24"/>
          <w:szCs w:val="24"/>
        </w:rPr>
        <w:t>Q/GDW-</w:t>
      </w:r>
      <w:r>
        <w:rPr>
          <w:rFonts w:hint="eastAsia" w:ascii="Times New Roman" w:hAnsi="Times New Roman"/>
          <w:sz w:val="24"/>
          <w:szCs w:val="24"/>
        </w:rPr>
        <w:t>SJCP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016-</w:t>
      </w:r>
      <w:r>
        <w:rPr>
          <w:rFonts w:ascii="Times New Roman" w:hAnsi="Times New Roman"/>
          <w:sz w:val="24"/>
          <w:szCs w:val="24"/>
        </w:rPr>
        <w:t>2020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塑料薄膜检测作业指导书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的要求，对测厚仪调零后直接测量厚度，并读出显示数据，记录数据。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数学模型</w:t>
      </w:r>
      <w:r>
        <w:rPr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式中：f－为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厚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度</w:t>
      </w:r>
      <w:r>
        <w:rPr>
          <w:b w:val="0"/>
          <w:bCs w:val="0"/>
          <w:kern w:val="0"/>
          <w:sz w:val="24"/>
          <w:szCs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kern w:val="0"/>
          <w:sz w:val="24"/>
          <w:szCs w:val="24"/>
        </w:rPr>
        <w:t>m－为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厚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度</w:t>
      </w:r>
      <w:r>
        <w:rPr>
          <w:b w:val="0"/>
          <w:bCs w:val="0"/>
          <w:sz w:val="24"/>
          <w:szCs w:val="24"/>
        </w:rPr>
        <w:t>读数值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/>
          <w:sz w:val="24"/>
          <w:lang w:val="en-US" w:eastAsia="zh-CN"/>
        </w:rPr>
        <w:t>测厚仪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测厚仪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9715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360"/>
        <w:gridCol w:w="1508"/>
        <w:gridCol w:w="1650"/>
        <w:gridCol w:w="174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8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值（μm）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8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8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值（μm）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21.38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21.37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21.27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4"/>
          <w:sz w:val="24"/>
        </w:rPr>
        <w:object>
          <v:shape id="_x0000_i1025" o:spt="75" type="#_x0000_t75" style="height:42pt;width:132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6"/>
          <w:sz w:val="24"/>
        </w:rPr>
        <w:object>
          <v:shape id="_x0000_i1026" o:spt="75" type="#_x0000_t75" style="height:51pt;width:168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1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1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39μm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/>
          <w:color w:val="000000"/>
          <w:position w:val="-8"/>
          <w:sz w:val="24"/>
          <w:lang w:eastAsia="zh-CN"/>
        </w:rPr>
      </w:pPr>
      <w:r>
        <w:rPr>
          <w:sz w:val="24"/>
        </w:rPr>
        <w:t>查</w:t>
      </w:r>
      <w:r>
        <w:rPr>
          <w:rFonts w:hint="eastAsia"/>
          <w:sz w:val="24"/>
          <w:lang w:val="en-US" w:eastAsia="zh-CN"/>
        </w:rPr>
        <w:t>测厚仪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书，出具的最大允许误差±0.</w:t>
      </w:r>
      <w:r>
        <w:rPr>
          <w:rFonts w:hint="eastAsia" w:cs="Times New Roman"/>
          <w:sz w:val="24"/>
          <w:szCs w:val="24"/>
          <w:lang w:val="en-US" w:eastAsia="zh-CN"/>
        </w:rPr>
        <w:t>2μm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2μm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  <w:lang w:val="en-US" w:eastAsia="zh-CN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28"/>
          <w:sz w:val="24"/>
        </w:rPr>
        <w:object>
          <v:shape id="_x0000_i1028" o:spt="75" type="#_x0000_t75" style="height:33pt;width:13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0.039μm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0.11μm</w:t>
            </w:r>
          </w:p>
        </w:tc>
      </w:tr>
    </w:tbl>
    <w:p>
      <w:pPr>
        <w:spacing w:line="360" w:lineRule="auto"/>
        <w:rPr>
          <w:rFonts w:hint="eastAsia" w:eastAsia="宋体"/>
          <w:sz w:val="24"/>
          <w:lang w:val="en-US" w:eastAsia="zh-CN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18"/>
          <w:sz w:val="24"/>
          <w:vertAlign w:val="subscript"/>
        </w:rPr>
        <w:object>
          <v:shape id="_x0000_i1030" o:spt="75" type="#_x0000_t75" style="height:28pt;width:247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</w:t>
      </w:r>
      <w:r>
        <w:rPr>
          <w:rFonts w:hint="eastAsia"/>
          <w:sz w:val="24"/>
          <w:lang w:val="en-US" w:eastAsia="zh-CN"/>
        </w:rPr>
        <w:t>12μm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24μm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24μm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kern w:val="0"/>
          <w:sz w:val="24"/>
          <w:lang w:val="en-US" w:eastAsia="zh-CN"/>
        </w:rPr>
        <w:t xml:space="preserve">             评定人：</w:t>
      </w:r>
      <w:r>
        <w:drawing>
          <wp:inline distT="0" distB="0" distL="0" distR="0">
            <wp:extent cx="1009650" cy="3409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5" t="48760" r="28666" b="34806"/>
                    <a:stretch>
                      <a:fillRect/>
                    </a:stretch>
                  </pic:blipFill>
                  <pic:spPr>
                    <a:xfrm>
                      <a:off x="0" y="0"/>
                      <a:ext cx="1030992" cy="34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C31E7A"/>
    <w:multiLevelType w:val="singleLevel"/>
    <w:tmpl w:val="66C31E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D60E80"/>
    <w:rsid w:val="00F55B64"/>
    <w:rsid w:val="00F8595A"/>
    <w:rsid w:val="010A736B"/>
    <w:rsid w:val="025B2178"/>
    <w:rsid w:val="029D4DA9"/>
    <w:rsid w:val="034B3636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BA4BDC"/>
    <w:rsid w:val="097256B0"/>
    <w:rsid w:val="09A54FAD"/>
    <w:rsid w:val="0A01364A"/>
    <w:rsid w:val="0A9A5E74"/>
    <w:rsid w:val="0AFB3820"/>
    <w:rsid w:val="0BC8647A"/>
    <w:rsid w:val="0BEF6E48"/>
    <w:rsid w:val="0C8A62DD"/>
    <w:rsid w:val="0D7E4CD6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DD0A90"/>
    <w:rsid w:val="12EE3904"/>
    <w:rsid w:val="133D6FDD"/>
    <w:rsid w:val="13DD349E"/>
    <w:rsid w:val="13F84346"/>
    <w:rsid w:val="150669D4"/>
    <w:rsid w:val="1581369B"/>
    <w:rsid w:val="159C78BE"/>
    <w:rsid w:val="16250B6A"/>
    <w:rsid w:val="16B00322"/>
    <w:rsid w:val="16D8717C"/>
    <w:rsid w:val="17496B57"/>
    <w:rsid w:val="18175742"/>
    <w:rsid w:val="182D6F97"/>
    <w:rsid w:val="183E7280"/>
    <w:rsid w:val="18D62037"/>
    <w:rsid w:val="19591AD2"/>
    <w:rsid w:val="1B8F690F"/>
    <w:rsid w:val="1BDD231A"/>
    <w:rsid w:val="1C87152C"/>
    <w:rsid w:val="1D5025AC"/>
    <w:rsid w:val="1DBB3739"/>
    <w:rsid w:val="1DFD6F64"/>
    <w:rsid w:val="1E36565E"/>
    <w:rsid w:val="1F89788F"/>
    <w:rsid w:val="1FCA46F2"/>
    <w:rsid w:val="20B34A14"/>
    <w:rsid w:val="218D212F"/>
    <w:rsid w:val="218E3152"/>
    <w:rsid w:val="21BF051E"/>
    <w:rsid w:val="22140A30"/>
    <w:rsid w:val="222055FF"/>
    <w:rsid w:val="23476973"/>
    <w:rsid w:val="25061358"/>
    <w:rsid w:val="259413AB"/>
    <w:rsid w:val="25E75F91"/>
    <w:rsid w:val="26633AB1"/>
    <w:rsid w:val="27551939"/>
    <w:rsid w:val="27725E1D"/>
    <w:rsid w:val="27FD4E22"/>
    <w:rsid w:val="282C2BBB"/>
    <w:rsid w:val="2916416F"/>
    <w:rsid w:val="295E52F6"/>
    <w:rsid w:val="2AE46453"/>
    <w:rsid w:val="2C6B1258"/>
    <w:rsid w:val="2C8F1234"/>
    <w:rsid w:val="2D5F4593"/>
    <w:rsid w:val="2EF20F47"/>
    <w:rsid w:val="2FCB68DB"/>
    <w:rsid w:val="30205D58"/>
    <w:rsid w:val="304061F0"/>
    <w:rsid w:val="30614A16"/>
    <w:rsid w:val="31073D29"/>
    <w:rsid w:val="314A69C0"/>
    <w:rsid w:val="314B5F65"/>
    <w:rsid w:val="32FD5AF2"/>
    <w:rsid w:val="330A1107"/>
    <w:rsid w:val="337156F2"/>
    <w:rsid w:val="343073A2"/>
    <w:rsid w:val="3504148B"/>
    <w:rsid w:val="35D810C6"/>
    <w:rsid w:val="36184782"/>
    <w:rsid w:val="36AC74B4"/>
    <w:rsid w:val="37145252"/>
    <w:rsid w:val="37A94C31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DED5548"/>
    <w:rsid w:val="3E782D8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1A4193"/>
    <w:rsid w:val="4133108B"/>
    <w:rsid w:val="4164563D"/>
    <w:rsid w:val="422A249F"/>
    <w:rsid w:val="42CF2139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DA33F9"/>
    <w:rsid w:val="4D6F48AB"/>
    <w:rsid w:val="4D7168CF"/>
    <w:rsid w:val="4E0D48FC"/>
    <w:rsid w:val="4ECD29D3"/>
    <w:rsid w:val="4FB91FF7"/>
    <w:rsid w:val="50E12BE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C055090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D209A"/>
    <w:rsid w:val="6726694F"/>
    <w:rsid w:val="67B5344E"/>
    <w:rsid w:val="67C148F9"/>
    <w:rsid w:val="69680C14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8B140C7"/>
    <w:rsid w:val="78EB596B"/>
    <w:rsid w:val="79E77920"/>
    <w:rsid w:val="7A480860"/>
    <w:rsid w:val="7A56499B"/>
    <w:rsid w:val="7A7F2C28"/>
    <w:rsid w:val="7C1201F8"/>
    <w:rsid w:val="7C5425D0"/>
    <w:rsid w:val="7D4465FC"/>
    <w:rsid w:val="7D9F4569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1</TotalTime>
  <ScaleCrop>false</ScaleCrop>
  <LinksUpToDate>false</LinksUpToDate>
  <CharactersWithSpaces>1240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hp</cp:lastModifiedBy>
  <dcterms:modified xsi:type="dcterms:W3CDTF">2022-05-04T06:33:53Z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167CB3CF32F046A0ADB35B9CC1EBA4E6</vt:lpwstr>
  </property>
</Properties>
</file>