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BOPP薄膜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抗拉强度检测测量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依据</w:t>
      </w:r>
      <w:r>
        <w:rPr>
          <w:rFonts w:hint="eastAsia"/>
          <w:b w:val="0"/>
          <w:bCs w:val="0"/>
          <w:sz w:val="24"/>
          <w:szCs w:val="24"/>
        </w:rPr>
        <w:t>按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GB/T 1040.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-20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06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《</w:t>
      </w:r>
      <w:r>
        <w:rPr>
          <w:b w:val="0"/>
          <w:bCs w:val="0"/>
          <w:color w:val="000000"/>
          <w:sz w:val="24"/>
          <w:szCs w:val="24"/>
        </w:rPr>
        <w:t>塑料拉伸性能的测定第3部分：薄膜和薄片的试验条件</w:t>
      </w:r>
      <w:bookmarkStart w:id="0" w:name="1"/>
      <w:bookmarkEnd w:id="0"/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常温</w: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1.3、检测设备：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拉伸机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）kN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=0.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误差：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0.7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%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抗拉强度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160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MPa即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相应的最大力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≥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0.071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kN</w: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开机检查试验机处于正常工作状态。将制作好的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</w:t>
      </w:r>
      <w:r>
        <w:rPr>
          <w:rFonts w:hint="eastAsia" w:cs="Times New Roman"/>
          <w:sz w:val="24"/>
          <w:szCs w:val="24"/>
          <w:lang w:val="en-US" w:eastAsia="zh-CN"/>
        </w:rPr>
        <w:t>样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</w:t>
      </w:r>
      <w:r>
        <w:rPr>
          <w:rFonts w:hint="eastAsia" w:cs="Times New Roman"/>
          <w:sz w:val="24"/>
          <w:szCs w:val="24"/>
          <w:lang w:val="en-US" w:eastAsia="zh-CN"/>
        </w:rPr>
        <w:t>拉伸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机上，按照</w:t>
      </w:r>
      <w:r>
        <w:rPr>
          <w:rFonts w:hint="eastAsia" w:cs="Times New Roman"/>
          <w:sz w:val="24"/>
          <w:szCs w:val="24"/>
          <w:lang w:val="en-US" w:eastAsia="zh-CN"/>
        </w:rPr>
        <w:t>拉伸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机的操作规程，进入试验状态，待试</w:t>
      </w:r>
      <w:r>
        <w:rPr>
          <w:rFonts w:hint="eastAsia" w:cs="Times New Roman"/>
          <w:sz w:val="24"/>
          <w:szCs w:val="24"/>
          <w:lang w:val="en-US" w:eastAsia="zh-CN"/>
        </w:rPr>
        <w:t>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</w:t>
      </w:r>
      <w:r>
        <w:rPr>
          <w:rFonts w:hint="eastAsia" w:cs="Times New Roman"/>
          <w:sz w:val="24"/>
          <w:szCs w:val="24"/>
          <w:lang w:val="en-US" w:eastAsia="zh-CN"/>
        </w:rPr>
        <w:t>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  <w:bookmarkStart w:id="1" w:name="_GoBack"/>
      <w:bookmarkEnd w:id="1"/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0.071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0.071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0.082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0.088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0.088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0.088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0.082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0.071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0.071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0.071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2.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67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6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拉伸机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0.7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4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</w:t>
      </w:r>
      <w:r>
        <w:rPr>
          <w:rFonts w:hint="eastAsia" w:cs="Times New Roman"/>
          <w:sz w:val="24"/>
          <w:szCs w:val="24"/>
          <w:lang w:eastAsia="zh-CN"/>
        </w:rPr>
        <w:t>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0.008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6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评定人：</w:t>
      </w:r>
      <w:r>
        <w:drawing>
          <wp:inline distT="0" distB="0" distL="0" distR="0">
            <wp:extent cx="1009650" cy="34099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5" t="48760" r="28666" b="34806"/>
                    <a:stretch>
                      <a:fillRect/>
                    </a:stretch>
                  </pic:blipFill>
                  <pic:spPr>
                    <a:xfrm>
                      <a:off x="0" y="0"/>
                      <a:ext cx="1030992" cy="3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A2587E"/>
    <w:multiLevelType w:val="singleLevel"/>
    <w:tmpl w:val="DBA258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6565DC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10316A87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0EC1FC6"/>
    <w:rsid w:val="316B00DD"/>
    <w:rsid w:val="33010797"/>
    <w:rsid w:val="343B7C73"/>
    <w:rsid w:val="35193C19"/>
    <w:rsid w:val="351957ED"/>
    <w:rsid w:val="35AE7103"/>
    <w:rsid w:val="360719D2"/>
    <w:rsid w:val="360F49D2"/>
    <w:rsid w:val="36503441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720CFF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60E42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4700C8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915A0E"/>
    <w:rsid w:val="75D43E41"/>
    <w:rsid w:val="76782D4F"/>
    <w:rsid w:val="772F7EBB"/>
    <w:rsid w:val="776D285C"/>
    <w:rsid w:val="7869696E"/>
    <w:rsid w:val="78901F63"/>
    <w:rsid w:val="78E1576B"/>
    <w:rsid w:val="7AB02F7C"/>
    <w:rsid w:val="7ABC47A1"/>
    <w:rsid w:val="7B835F53"/>
    <w:rsid w:val="7D2B6D03"/>
    <w:rsid w:val="7DC32556"/>
    <w:rsid w:val="7DF27960"/>
    <w:rsid w:val="7E475F63"/>
    <w:rsid w:val="7E5C07A9"/>
    <w:rsid w:val="7E652938"/>
    <w:rsid w:val="7E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14CCC"/>
      <w:u w:val="none"/>
    </w:rPr>
  </w:style>
  <w:style w:type="character" w:styleId="11">
    <w:name w:val="Hyperlink"/>
    <w:basedOn w:val="8"/>
    <w:uiPriority w:val="0"/>
    <w:rPr>
      <w:color w:val="014CCC"/>
      <w:u w:val="none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4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5">
    <w:name w:val="正文文本 字符"/>
    <w:link w:val="3"/>
    <w:qFormat/>
    <w:uiPriority w:val="0"/>
    <w:rPr>
      <w:kern w:val="2"/>
      <w:sz w:val="18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8">
    <w:name w:val="Placeholder Text"/>
    <w:basedOn w:val="8"/>
    <w:unhideWhenUsed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2022-05-04T06:42:11Z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F4EE01D70B734DCAA454999CF788F23F</vt:lpwstr>
  </property>
</Properties>
</file>