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江苏铸鸿锻造有限公司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徐申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原材料光谱检测→钢锭铸造→钢锭冷却→钢锭磨修→钢锭检验→锻前加热→锻造→缓冷→矫直→检验→热处理（适用时）→车加工（适用时）→入库；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主要能源使用：电力、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天然气、柴油、汽油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主要能源参数等；综合能耗tce；单位产品综合能耗kgce/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t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default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相关能源法律法规：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《中华人民共和国电力法》、、《中华人民共和国节约能源法》《中华人民共和国可再生能源法》、《国家重点节能技术推广目录（1-6 批）》、《企业节能量计算方法 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instrText xml:space="preserve"> HYPERLINK "http://www.csres.com/detail/204647.html" \h </w:instrTex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GB/T 13234-201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8》、电力变压器经济运行（GB13462-2008）、综合能耗计算通则GBT2589-2020、 用能单位能源计量器具配备与管理通则（GB/T17167-2006）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119-2015 能源管理体系 机械制造企业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认证要求</w:t>
            </w:r>
            <w:bookmarkStart w:id="1" w:name="_GoBack"/>
            <w:bookmarkEnd w:id="1"/>
            <w: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等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产品标准：GB/T 699-2015优质碳素结构钢、GB/T3077-2015合金结构钢、BS EN ISO683-1-2018等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其他专业审核知识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-190500</wp:posOffset>
                  </wp:positionV>
                  <wp:extent cx="1305560" cy="576580"/>
                  <wp:effectExtent l="0" t="0" r="2540" b="7620"/>
                  <wp:wrapSquare wrapText="bothSides"/>
                  <wp:docPr id="1" name="图片 1" descr="1056763f4e5bd04306ddf3b9b95cb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056763f4e5bd04306ddf3b9b95cbe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40640</wp:posOffset>
                  </wp:positionV>
                  <wp:extent cx="982345" cy="319405"/>
                  <wp:effectExtent l="0" t="0" r="0" b="10795"/>
                  <wp:wrapSquare wrapText="bothSides"/>
                  <wp:docPr id="5" name="图片 5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48437FD"/>
    <w:rsid w:val="10EE7154"/>
    <w:rsid w:val="3E8E6910"/>
    <w:rsid w:val="79EE7708"/>
    <w:rsid w:val="7CEF2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2022-04-26T15:06:46Z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