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drawing>
          <wp:inline distT="0" distB="0" distL="114300" distR="114300">
            <wp:extent cx="6388735" cy="9399270"/>
            <wp:effectExtent l="0" t="0" r="12065" b="11430"/>
            <wp:docPr id="1" name="图片 1" descr="新文档 2022-05-28 15.50.16_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新文档 2022-05-28 15.50.16_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88735" cy="939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ajorEastAsia" w:hAnsiTheme="majorEastAsia" w:eastAsiaTheme="majorEastAsia" w:cstheme="majorEastAsia"/>
          <w:sz w:val="30"/>
          <w:szCs w:val="30"/>
        </w:rPr>
        <w:drawing>
          <wp:inline distT="0" distB="0" distL="114300" distR="114300">
            <wp:extent cx="6315710" cy="9521825"/>
            <wp:effectExtent l="0" t="0" r="8890" b="3175"/>
            <wp:docPr id="2" name="图片 2" descr="新文档 2022-05-28 15.50.16_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新文档 2022-05-28 15.50.16_1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15710" cy="9521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6" w:name="_GoBack"/>
      <w:bookmarkEnd w:id="16"/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4420"/>
        <w:gridCol w:w="2176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4420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石家庄市荣盛装饰用布有限公司</w:t>
            </w:r>
            <w:bookmarkEnd w:id="11"/>
          </w:p>
        </w:tc>
        <w:tc>
          <w:tcPr>
            <w:tcW w:w="217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吴丽亚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4420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财务部</w:t>
            </w: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217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现场审核发现，未提供对员工进行了体检的证据。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>GB/T 19001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-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24001-2016 idt ISO 14001:2015标准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>GB/T 45001-2020 idt ISO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45001：2018标准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9.1.1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审核组长：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组长</w:t>
            </w:r>
            <w:r>
              <w:rPr>
                <w:rFonts w:hint="eastAsia" w:ascii="方正仿宋简体" w:eastAsia="方正仿宋简体"/>
                <w:b/>
              </w:rPr>
              <w:t xml:space="preserve">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</w:t>
            </w:r>
            <w:r>
              <w:rPr>
                <w:rFonts w:hint="eastAsia" w:eastAsia="方正仿宋简体"/>
                <w:b/>
                <w:lang w:val="en-US" w:eastAsia="zh-CN"/>
              </w:rPr>
              <w:t>/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</w:t>
      </w:r>
      <w:r>
        <w:rPr>
          <w:rFonts w:hint="eastAsia" w:eastAsia="方正仿宋简体"/>
          <w:b/>
          <w:lang w:val="en-US" w:eastAsia="zh-CN"/>
        </w:rPr>
        <w:t>/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Y3MmNiNTA4Y2RiYTNkMzhmODU1Yjg5OTYxMzY5NzMifQ=="/>
  </w:docVars>
  <w:rsids>
    <w:rsidRoot w:val="00000000"/>
    <w:rsid w:val="10CB420D"/>
    <w:rsid w:val="26C949A1"/>
    <w:rsid w:val="7F572FA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329</Words>
  <Characters>436</Characters>
  <Lines>6</Lines>
  <Paragraphs>1</Paragraphs>
  <TotalTime>107</TotalTime>
  <ScaleCrop>false</ScaleCrop>
  <LinksUpToDate>false</LinksUpToDate>
  <CharactersWithSpaces>637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至鱼</cp:lastModifiedBy>
  <cp:lastPrinted>2019-05-13T03:02:00Z</cp:lastPrinted>
  <dcterms:modified xsi:type="dcterms:W3CDTF">2022-05-28T07:59:19Z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2052-11.1.0.11744</vt:lpwstr>
  </property>
</Properties>
</file>