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sz w:val="24"/>
                <w:szCs w:val="24"/>
                <w:lang w:val="en-US" w:eastAsia="zh-CN"/>
              </w:rPr>
              <w:t>领导层；</w:t>
            </w:r>
            <w:r>
              <w:rPr>
                <w:rFonts w:hint="eastAsia"/>
                <w:sz w:val="24"/>
                <w:szCs w:val="24"/>
              </w:rPr>
              <w:t>主管领导</w:t>
            </w:r>
            <w:bookmarkStart w:id="0" w:name="管理者代表"/>
            <w:r>
              <w:rPr>
                <w:rFonts w:hint="eastAsia"/>
                <w:sz w:val="24"/>
                <w:szCs w:val="24"/>
                <w:lang w:val="en-US" w:eastAsia="zh-CN"/>
              </w:rPr>
              <w:t>/</w:t>
            </w:r>
            <w:r>
              <w:rPr>
                <w:rFonts w:hint="eastAsia"/>
                <w:sz w:val="24"/>
                <w:szCs w:val="24"/>
              </w:rPr>
              <w:t>陪同人员：</w:t>
            </w:r>
            <w:bookmarkEnd w:id="0"/>
            <w:r>
              <w:rPr>
                <w:rFonts w:hint="eastAsia" w:cs="Times New Roman"/>
                <w:sz w:val="24"/>
                <w:szCs w:val="24"/>
                <w:lang w:val="en-US" w:eastAsia="zh-CN"/>
              </w:rPr>
              <w:t>管代：苗雨</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周文/远程；</w:t>
            </w:r>
            <w:r>
              <w:rPr>
                <w:rFonts w:hint="eastAsia"/>
                <w:sz w:val="24"/>
                <w:szCs w:val="24"/>
              </w:rPr>
              <w:t>审核时间：</w:t>
            </w:r>
            <w:bookmarkStart w:id="1" w:name="审核日期"/>
            <w:r>
              <w:t xml:space="preserve">2022年05月10日 </w:t>
            </w:r>
            <w:bookmarkEnd w:id="1"/>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lang w:val="en-US" w:eastAsia="zh-CN"/>
              </w:rPr>
            </w:pPr>
            <w:r>
              <w:rPr>
                <w:rFonts w:hint="eastAsia"/>
              </w:rPr>
              <w:t>审核条款：</w:t>
            </w:r>
            <w:r>
              <w:rPr>
                <w:rFonts w:hint="eastAsia"/>
                <w:lang w:val="en-US" w:eastAsia="zh-CN"/>
              </w:rPr>
              <w:t>领导层</w:t>
            </w:r>
          </w:p>
          <w:p>
            <w:pPr>
              <w:tabs>
                <w:tab w:val="left" w:pos="709"/>
              </w:tabs>
              <w:ind w:right="57"/>
              <w:rPr>
                <w:sz w:val="21"/>
                <w:szCs w:val="21"/>
              </w:rPr>
            </w:pPr>
            <w:r>
              <w:rPr>
                <w:rFonts w:hint="eastAsia"/>
                <w:sz w:val="21"/>
                <w:szCs w:val="21"/>
              </w:rPr>
              <w:t>1、企业概况及组织体系总体策划和建立过程：</w:t>
            </w:r>
          </w:p>
          <w:p>
            <w:pPr>
              <w:tabs>
                <w:tab w:val="left" w:pos="709"/>
              </w:tabs>
              <w:ind w:right="57"/>
              <w:rPr>
                <w:rFonts w:hint="eastAsia"/>
                <w:sz w:val="21"/>
                <w:szCs w:val="21"/>
                <w:lang w:val="en-US" w:eastAsia="zh-CN"/>
              </w:rPr>
            </w:pPr>
            <w:r>
              <w:rPr>
                <w:rFonts w:hint="eastAsia"/>
                <w:sz w:val="21"/>
                <w:szCs w:val="21"/>
              </w:rPr>
              <w:t>*影响企业管理体系预期结果的风险识别与应对，包括相关方需求识别和应对，以及风险识别与应对机制的建立</w:t>
            </w:r>
            <w:r>
              <w:rPr>
                <w:rFonts w:hint="eastAsia"/>
                <w:sz w:val="21"/>
                <w:szCs w:val="21"/>
                <w:lang w:eastAsia="zh-CN"/>
              </w:rPr>
              <w:t>（</w:t>
            </w:r>
            <w:r>
              <w:rPr>
                <w:rFonts w:hint="eastAsia"/>
                <w:sz w:val="21"/>
                <w:szCs w:val="21"/>
                <w:lang w:val="en-US" w:eastAsia="zh-CN"/>
              </w:rPr>
              <w:t>QES4.1、4.2、6.1）</w:t>
            </w:r>
          </w:p>
          <w:p>
            <w:pPr>
              <w:spacing w:line="240" w:lineRule="auto"/>
              <w:rPr>
                <w:rFonts w:hint="eastAsia" w:eastAsia="宋体"/>
                <w:sz w:val="21"/>
                <w:szCs w:val="21"/>
                <w:lang w:eastAsia="zh-CN"/>
              </w:rPr>
            </w:pPr>
            <w:r>
              <w:rPr>
                <w:rFonts w:hint="eastAsia"/>
                <w:sz w:val="21"/>
                <w:szCs w:val="21"/>
              </w:rPr>
              <w:t>*管理体系范围确定的适宜性和充分性及体系过程</w:t>
            </w:r>
            <w:r>
              <w:rPr>
                <w:rFonts w:hint="eastAsia"/>
                <w:sz w:val="21"/>
                <w:szCs w:val="21"/>
                <w:lang w:eastAsia="zh-CN"/>
              </w:rPr>
              <w:t>建立、变更的策划（</w:t>
            </w:r>
            <w:r>
              <w:rPr>
                <w:rFonts w:hint="eastAsia"/>
                <w:lang w:val="en-US" w:eastAsia="zh-CN"/>
              </w:rPr>
              <w:t>QES4.3、4.4；</w:t>
            </w:r>
            <w:r>
              <w:rPr>
                <w:rFonts w:hint="eastAsia"/>
                <w:sz w:val="21"/>
                <w:szCs w:val="21"/>
                <w:lang w:val="en-US" w:eastAsia="zh-CN"/>
              </w:rPr>
              <w:t>Q6.3）</w:t>
            </w:r>
          </w:p>
          <w:p>
            <w:pPr>
              <w:tabs>
                <w:tab w:val="left" w:pos="709"/>
              </w:tabs>
              <w:ind w:right="57"/>
              <w:rPr>
                <w:rFonts w:hint="default" w:eastAsia="宋体"/>
                <w:sz w:val="21"/>
                <w:szCs w:val="21"/>
                <w:lang w:val="en-US" w:eastAsia="zh-CN"/>
              </w:rPr>
            </w:pPr>
            <w:r>
              <w:rPr>
                <w:rFonts w:hint="eastAsia"/>
                <w:sz w:val="21"/>
                <w:szCs w:val="21"/>
              </w:rPr>
              <w:t>*管理承诺的具体体现</w:t>
            </w:r>
            <w:r>
              <w:rPr>
                <w:rFonts w:hint="eastAsia"/>
                <w:sz w:val="21"/>
                <w:szCs w:val="21"/>
                <w:lang w:val="en-US" w:eastAsia="zh-CN"/>
              </w:rPr>
              <w:t>及</w:t>
            </w:r>
            <w:r>
              <w:rPr>
                <w:rFonts w:hint="eastAsia"/>
                <w:sz w:val="21"/>
                <w:szCs w:val="21"/>
              </w:rPr>
              <w:t>组织架构及职责分配的适宜性</w:t>
            </w:r>
            <w:r>
              <w:rPr>
                <w:rFonts w:hint="eastAsia"/>
                <w:sz w:val="21"/>
                <w:szCs w:val="21"/>
                <w:lang w:eastAsia="zh-CN"/>
              </w:rPr>
              <w:t>（</w:t>
            </w:r>
            <w:r>
              <w:rPr>
                <w:rFonts w:hint="eastAsia"/>
                <w:sz w:val="21"/>
                <w:szCs w:val="21"/>
                <w:lang w:val="en-US" w:eastAsia="zh-CN"/>
              </w:rPr>
              <w:t>QES5.1、5.3）</w:t>
            </w:r>
          </w:p>
          <w:p>
            <w:pPr>
              <w:tabs>
                <w:tab w:val="left" w:pos="709"/>
              </w:tabs>
              <w:ind w:right="57"/>
              <w:rPr>
                <w:rFonts w:hint="default" w:eastAsia="宋体"/>
                <w:sz w:val="21"/>
                <w:szCs w:val="21"/>
                <w:lang w:val="en-US" w:eastAsia="zh-CN"/>
              </w:rPr>
            </w:pPr>
            <w:r>
              <w:rPr>
                <w:rFonts w:hint="eastAsia"/>
                <w:sz w:val="21"/>
                <w:szCs w:val="21"/>
              </w:rPr>
              <w:t>*组织方针、目标建立的适宜性和实施的有效性</w:t>
            </w:r>
            <w:r>
              <w:rPr>
                <w:rFonts w:hint="eastAsia"/>
                <w:sz w:val="21"/>
                <w:szCs w:val="21"/>
                <w:lang w:eastAsia="zh-CN"/>
              </w:rPr>
              <w:t>（</w:t>
            </w:r>
            <w:r>
              <w:rPr>
                <w:rFonts w:hint="eastAsia"/>
                <w:sz w:val="21"/>
                <w:szCs w:val="21"/>
                <w:lang w:val="en-US" w:eastAsia="zh-CN"/>
              </w:rPr>
              <w:t>QES5.2、6.2）</w:t>
            </w:r>
          </w:p>
          <w:p>
            <w:pPr>
              <w:spacing w:line="276" w:lineRule="auto"/>
              <w:rPr>
                <w:rFonts w:hint="default" w:eastAsia="宋体"/>
                <w:sz w:val="21"/>
                <w:szCs w:val="21"/>
                <w:lang w:val="en-US" w:eastAsia="zh-CN"/>
              </w:rPr>
            </w:pPr>
            <w:r>
              <w:rPr>
                <w:rFonts w:hint="eastAsia"/>
                <w:sz w:val="21"/>
                <w:szCs w:val="21"/>
              </w:rPr>
              <w:t>*体系必要资源提供的充分性</w:t>
            </w:r>
            <w:r>
              <w:rPr>
                <w:rFonts w:hint="eastAsia"/>
                <w:sz w:val="21"/>
                <w:szCs w:val="21"/>
                <w:lang w:eastAsia="zh-CN"/>
              </w:rPr>
              <w:t>；</w:t>
            </w:r>
            <w:r>
              <w:rPr>
                <w:rFonts w:hint="eastAsia" w:ascii="Times New Roman" w:hAnsi="Times New Roman" w:eastAsia="宋体" w:cs="Times New Roman"/>
                <w:sz w:val="21"/>
                <w:szCs w:val="21"/>
              </w:rPr>
              <w:t>财务配合提供用于EMS/OHSMS体系建设的资金保障情况</w:t>
            </w:r>
            <w:r>
              <w:rPr>
                <w:rFonts w:hint="eastAsia"/>
                <w:sz w:val="21"/>
                <w:szCs w:val="21"/>
                <w:lang w:eastAsia="zh-CN"/>
              </w:rPr>
              <w:t>（</w:t>
            </w:r>
            <w:r>
              <w:rPr>
                <w:rFonts w:hint="eastAsia"/>
                <w:sz w:val="21"/>
                <w:szCs w:val="21"/>
                <w:lang w:val="en-US" w:eastAsia="zh-CN"/>
              </w:rPr>
              <w:t>Q7.1.1、ES7.1）</w:t>
            </w:r>
          </w:p>
          <w:p>
            <w:pPr>
              <w:tabs>
                <w:tab w:val="left" w:pos="709"/>
              </w:tabs>
              <w:ind w:right="57"/>
              <w:rPr>
                <w:sz w:val="21"/>
                <w:szCs w:val="21"/>
              </w:rPr>
            </w:pPr>
            <w:r>
              <w:rPr>
                <w:rFonts w:hint="eastAsia"/>
                <w:sz w:val="21"/>
                <w:szCs w:val="21"/>
              </w:rPr>
              <w:t>2、体系综合绩效检查、评价和改进过程：</w:t>
            </w:r>
          </w:p>
          <w:p>
            <w:pPr>
              <w:tabs>
                <w:tab w:val="left" w:pos="709"/>
              </w:tabs>
              <w:ind w:right="57"/>
              <w:rPr>
                <w:rFonts w:hint="default" w:eastAsia="宋体"/>
                <w:sz w:val="21"/>
                <w:szCs w:val="21"/>
                <w:lang w:val="en-US" w:eastAsia="zh-CN"/>
              </w:rPr>
            </w:pPr>
            <w:r>
              <w:rPr>
                <w:rFonts w:hint="eastAsia"/>
                <w:sz w:val="21"/>
                <w:szCs w:val="21"/>
              </w:rPr>
              <w:t>*管理评审的实施及作用</w:t>
            </w:r>
            <w:r>
              <w:rPr>
                <w:rFonts w:hint="eastAsia"/>
                <w:sz w:val="21"/>
                <w:szCs w:val="21"/>
                <w:lang w:eastAsia="zh-CN"/>
              </w:rPr>
              <w:t>（</w:t>
            </w:r>
            <w:r>
              <w:rPr>
                <w:rFonts w:hint="eastAsia"/>
                <w:sz w:val="21"/>
                <w:szCs w:val="21"/>
                <w:lang w:val="en-US" w:eastAsia="zh-CN"/>
              </w:rPr>
              <w:t>QES9.3)</w:t>
            </w:r>
          </w:p>
          <w:p>
            <w:pPr>
              <w:tabs>
                <w:tab w:val="left" w:pos="709"/>
              </w:tabs>
              <w:ind w:right="57"/>
              <w:rPr>
                <w:rFonts w:hint="default" w:eastAsia="宋体"/>
                <w:sz w:val="21"/>
                <w:szCs w:val="21"/>
                <w:lang w:val="en-US" w:eastAsia="zh-CN"/>
              </w:rPr>
            </w:pPr>
            <w:r>
              <w:rPr>
                <w:rFonts w:hint="eastAsia"/>
                <w:sz w:val="21"/>
                <w:szCs w:val="21"/>
              </w:rPr>
              <w:t>*改进机制的建立</w:t>
            </w:r>
            <w:r>
              <w:rPr>
                <w:rFonts w:hint="eastAsia"/>
                <w:sz w:val="21"/>
                <w:szCs w:val="21"/>
                <w:lang w:eastAsia="zh-CN"/>
              </w:rPr>
              <w:t>；</w:t>
            </w:r>
            <w:r>
              <w:rPr>
                <w:rFonts w:hint="eastAsia"/>
                <w:sz w:val="21"/>
                <w:szCs w:val="21"/>
                <w:lang w:val="en-US" w:eastAsia="zh-CN"/>
              </w:rPr>
              <w:t>(QES10.1、10.3）</w:t>
            </w:r>
          </w:p>
          <w:p>
            <w:pPr>
              <w:pStyle w:val="2"/>
              <w:rPr>
                <w:rFonts w:hint="eastAsia"/>
                <w:lang w:val="en-US" w:eastAsia="zh-CN"/>
              </w:rPr>
            </w:pPr>
            <w:r>
              <w:rPr>
                <w:rFonts w:hint="eastAsia"/>
                <w:sz w:val="21"/>
                <w:szCs w:val="21"/>
              </w:rPr>
              <w:t>3、产品质量状况(包括质量/环境/安全事故、顾客投诉、监督部门抽查/监测等)</w:t>
            </w:r>
            <w:r>
              <w:rPr>
                <w:rFonts w:hint="eastAsia"/>
                <w:sz w:val="21"/>
                <w:szCs w:val="21"/>
                <w:lang w:eastAsia="zh-CN"/>
              </w:rPr>
              <w:t>、</w:t>
            </w:r>
            <w:r>
              <w:rPr>
                <w:rFonts w:hint="eastAsia"/>
                <w:sz w:val="21"/>
                <w:szCs w:val="21"/>
                <w:lang w:val="en-US" w:eastAsia="zh-CN"/>
              </w:rPr>
              <w:t>Q不适用条款说明；</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tabs>
                <w:tab w:val="left" w:pos="709"/>
              </w:tabs>
              <w:spacing w:line="240" w:lineRule="auto"/>
              <w:ind w:right="57"/>
              <w:rPr>
                <w:sz w:val="21"/>
                <w:szCs w:val="21"/>
              </w:rPr>
            </w:pPr>
            <w:r>
              <w:rPr>
                <w:rFonts w:hint="eastAsia"/>
                <w:sz w:val="21"/>
                <w:szCs w:val="21"/>
              </w:rPr>
              <w:t>1、企业概况及组织体系总体策划和建立过程：</w:t>
            </w:r>
          </w:p>
          <w:p>
            <w:r>
              <w:rPr>
                <w:rFonts w:hint="eastAsia"/>
                <w:sz w:val="21"/>
                <w:szCs w:val="21"/>
              </w:rPr>
              <w:t>*影响企业管理体系预期结果的风险识别与应对，包括相关方需求识别和应对，以及风险识别与应对机制的建立</w:t>
            </w:r>
          </w:p>
        </w:tc>
        <w:tc>
          <w:tcPr>
            <w:tcW w:w="960" w:type="dxa"/>
          </w:tcPr>
          <w:p>
            <w:r>
              <w:rPr>
                <w:rFonts w:hint="eastAsia"/>
                <w:sz w:val="21"/>
                <w:szCs w:val="21"/>
                <w:lang w:val="en-US" w:eastAsia="zh-CN"/>
              </w:rPr>
              <w:t>QES4.1、4.2、6.1；</w:t>
            </w:r>
          </w:p>
        </w:tc>
        <w:tc>
          <w:tcPr>
            <w:tcW w:w="10004" w:type="dxa"/>
          </w:tcPr>
          <w:p>
            <w:pPr>
              <w:pStyle w:val="14"/>
              <w:spacing w:line="240" w:lineRule="auto"/>
              <w:ind w:firstLine="420" w:firstLineChars="200"/>
              <w:rPr>
                <w:rFonts w:hint="eastAsia" w:ascii="Times New Roman" w:hAnsi="Times New Roman"/>
                <w:sz w:val="21"/>
                <w:szCs w:val="21"/>
                <w:lang w:eastAsia="zh-CN"/>
              </w:rPr>
            </w:pPr>
            <w:r>
              <w:rPr>
                <w:rFonts w:hint="eastAsia" w:ascii="Times New Roman" w:hAnsi="Times New Roman"/>
                <w:sz w:val="21"/>
                <w:szCs w:val="21"/>
                <w:lang w:val="en-US" w:eastAsia="zh-CN"/>
              </w:rPr>
              <w:t>法人兼总经理：闫丹丹；管代：</w:t>
            </w:r>
            <w:r>
              <w:rPr>
                <w:rFonts w:hint="eastAsia" w:ascii="Times New Roman" w:hAnsi="Times New Roman"/>
                <w:sz w:val="21"/>
                <w:szCs w:val="21"/>
              </w:rPr>
              <w:t>李艳玲</w:t>
            </w:r>
            <w:r>
              <w:rPr>
                <w:rFonts w:hint="eastAsia" w:ascii="Times New Roman" w:hAnsi="Times New Roman"/>
                <w:sz w:val="21"/>
                <w:szCs w:val="21"/>
                <w:lang w:eastAsia="zh-CN"/>
              </w:rPr>
              <w:t>；</w:t>
            </w:r>
            <w:r>
              <w:rPr>
                <w:rFonts w:hint="eastAsia" w:ascii="Times New Roman" w:hAnsi="Times New Roman"/>
                <w:sz w:val="21"/>
                <w:szCs w:val="21"/>
                <w:lang w:val="en-US" w:eastAsia="zh-CN"/>
              </w:rPr>
              <w:t>员工</w:t>
            </w:r>
            <w:r>
              <w:rPr>
                <w:rFonts w:hint="eastAsia" w:ascii="Times New Roman" w:hAnsi="Times New Roman"/>
                <w:sz w:val="21"/>
                <w:szCs w:val="21"/>
              </w:rPr>
              <w:t>代表</w:t>
            </w:r>
            <w:r>
              <w:rPr>
                <w:rFonts w:hint="eastAsia" w:ascii="Times New Roman" w:hAnsi="Times New Roman"/>
                <w:sz w:val="21"/>
                <w:szCs w:val="21"/>
                <w:lang w:eastAsia="zh-CN"/>
              </w:rPr>
              <w:t>：</w:t>
            </w:r>
            <w:r>
              <w:rPr>
                <w:rFonts w:hint="eastAsia" w:ascii="Times New Roman" w:hAnsi="Times New Roman"/>
                <w:sz w:val="21"/>
                <w:szCs w:val="21"/>
                <w:lang w:val="en-US" w:eastAsia="zh-CN"/>
              </w:rPr>
              <w:t>姜微</w:t>
            </w:r>
            <w:r>
              <w:rPr>
                <w:rFonts w:hint="eastAsia" w:ascii="Times New Roman" w:hAnsi="Times New Roman"/>
                <w:sz w:val="21"/>
                <w:szCs w:val="21"/>
                <w:lang w:eastAsia="zh-CN"/>
              </w:rPr>
              <w:t>；</w:t>
            </w:r>
          </w:p>
          <w:p>
            <w:pPr>
              <w:pStyle w:val="14"/>
              <w:spacing w:line="240" w:lineRule="auto"/>
              <w:ind w:firstLine="420" w:firstLineChars="200"/>
              <w:rPr>
                <w:rFonts w:hint="eastAsia" w:ascii="Times New Roman" w:hAnsi="Times New Roman"/>
                <w:sz w:val="21"/>
                <w:szCs w:val="21"/>
              </w:rPr>
            </w:pPr>
            <w:r>
              <w:rPr>
                <w:rFonts w:hint="eastAsia" w:ascii="Times New Roman" w:hAnsi="Times New Roman"/>
                <w:sz w:val="21"/>
                <w:szCs w:val="21"/>
                <w:lang w:val="en-US" w:eastAsia="zh-CN"/>
              </w:rPr>
              <w:t>管代李艳玲介绍，</w:t>
            </w:r>
            <w:r>
              <w:rPr>
                <w:rFonts w:hint="eastAsia" w:ascii="Times New Roman" w:hAnsi="Times New Roman"/>
                <w:sz w:val="21"/>
                <w:szCs w:val="21"/>
                <w:lang w:eastAsia="zh-CN"/>
              </w:rPr>
              <w:t>大庆冠恒科技有限公司位于黑龙江省大庆市让胡路区乘风街道龙华路69号，经营顶驱技术服务、维修及配件销售；石油钻采专用仪器仪表（测斜仪、测井仪、录井仪）的研发、制造、销售、维修、租赁及技术服务；劳动保护用品销售</w:t>
            </w:r>
            <w:r>
              <w:rPr>
                <w:rFonts w:hint="eastAsia" w:ascii="Times New Roman" w:hAnsi="Times New Roman"/>
                <w:sz w:val="21"/>
                <w:szCs w:val="21"/>
              </w:rPr>
              <w:t>。公司</w:t>
            </w:r>
            <w:r>
              <w:rPr>
                <w:rFonts w:hint="eastAsia" w:ascii="Times New Roman" w:hAnsi="Times New Roman"/>
                <w:sz w:val="21"/>
                <w:szCs w:val="21"/>
                <w:lang w:val="en-US" w:eastAsia="zh-CN"/>
              </w:rPr>
              <w:t>于2021年10月15日</w:t>
            </w:r>
            <w:r>
              <w:rPr>
                <w:rFonts w:hint="eastAsia" w:ascii="Times New Roman" w:hAnsi="Times New Roman"/>
                <w:sz w:val="21"/>
                <w:szCs w:val="21"/>
              </w:rPr>
              <w:t>依据GB/T19001-2015 idt ISO9001：2015《质量管理体系  要求》</w:t>
            </w:r>
            <w:r>
              <w:rPr>
                <w:rFonts w:hint="eastAsia" w:ascii="Times New Roman" w:hAnsi="Times New Roman"/>
                <w:sz w:val="21"/>
                <w:szCs w:val="21"/>
                <w:lang w:eastAsia="zh-CN"/>
              </w:rPr>
              <w:t>、</w:t>
            </w:r>
            <w:r>
              <w:rPr>
                <w:rFonts w:hint="eastAsia" w:ascii="Times New Roman" w:hAnsi="Times New Roman"/>
                <w:sz w:val="21"/>
                <w:szCs w:val="21"/>
              </w:rPr>
              <w:t>GB/T24001-2015 idt ISO14001：2015《环境管理体系  要求及使用指南》</w:t>
            </w:r>
            <w:r>
              <w:rPr>
                <w:rFonts w:hint="eastAsia" w:ascii="Times New Roman" w:hAnsi="Times New Roman"/>
                <w:sz w:val="21"/>
                <w:szCs w:val="21"/>
                <w:lang w:eastAsia="zh-CN"/>
              </w:rPr>
              <w:t>、GB/T45001-2020/ISO45001:20</w:t>
            </w:r>
            <w:r>
              <w:rPr>
                <w:rFonts w:hint="eastAsia" w:ascii="Times New Roman" w:hAnsi="Times New Roman"/>
                <w:sz w:val="21"/>
                <w:szCs w:val="21"/>
                <w:lang w:val="en-US" w:eastAsia="zh-CN"/>
              </w:rPr>
              <w:t>20</w:t>
            </w:r>
            <w:r>
              <w:rPr>
                <w:rFonts w:hint="eastAsia" w:ascii="Times New Roman" w:hAnsi="Times New Roman"/>
                <w:sz w:val="21"/>
                <w:szCs w:val="21"/>
              </w:rPr>
              <w:t>《职业健康安全管理体系 要求及使用指南》，结合本公司的实际情况和产品特性</w:t>
            </w:r>
            <w:r>
              <w:rPr>
                <w:rFonts w:hint="eastAsia" w:ascii="Times New Roman" w:hAnsi="Times New Roman"/>
                <w:sz w:val="21"/>
                <w:szCs w:val="21"/>
                <w:lang w:eastAsia="zh-CN"/>
              </w:rPr>
              <w:t>，</w:t>
            </w:r>
            <w:r>
              <w:rPr>
                <w:rFonts w:hint="eastAsia" w:ascii="Times New Roman" w:hAnsi="Times New Roman"/>
                <w:sz w:val="21"/>
                <w:szCs w:val="21"/>
              </w:rPr>
              <w:t>建立</w:t>
            </w:r>
            <w:r>
              <w:rPr>
                <w:rFonts w:hint="eastAsia" w:ascii="Times New Roman" w:hAnsi="Times New Roman"/>
                <w:sz w:val="21"/>
                <w:szCs w:val="21"/>
                <w:lang w:eastAsia="zh-CN"/>
              </w:rPr>
              <w:t>、</w:t>
            </w:r>
            <w:r>
              <w:rPr>
                <w:rFonts w:hint="eastAsia" w:ascii="Times New Roman" w:hAnsi="Times New Roman"/>
                <w:sz w:val="21"/>
                <w:szCs w:val="21"/>
                <w:lang w:val="en-US" w:eastAsia="zh-CN"/>
              </w:rPr>
              <w:t>实施、保持和持续改进</w:t>
            </w:r>
            <w:r>
              <w:rPr>
                <w:rFonts w:hint="eastAsia" w:ascii="Times New Roman" w:hAnsi="Times New Roman"/>
                <w:sz w:val="21"/>
                <w:szCs w:val="21"/>
              </w:rPr>
              <w:t>了质量</w:t>
            </w:r>
            <w:r>
              <w:rPr>
                <w:rFonts w:hint="eastAsia" w:ascii="Times New Roman" w:hAnsi="Times New Roman"/>
                <w:sz w:val="21"/>
                <w:szCs w:val="21"/>
                <w:lang w:eastAsia="zh-CN"/>
              </w:rPr>
              <w:t>、</w:t>
            </w:r>
            <w:r>
              <w:rPr>
                <w:rFonts w:hint="eastAsia" w:ascii="Times New Roman" w:hAnsi="Times New Roman"/>
                <w:sz w:val="21"/>
                <w:szCs w:val="21"/>
                <w:lang w:val="en-US" w:eastAsia="zh-CN"/>
              </w:rPr>
              <w:t>环境、职业健康安全一体化管理</w:t>
            </w:r>
            <w:r>
              <w:rPr>
                <w:rFonts w:hint="eastAsia" w:ascii="Times New Roman" w:hAnsi="Times New Roman"/>
                <w:sz w:val="21"/>
                <w:szCs w:val="21"/>
              </w:rPr>
              <w:t>体系，确保在满足国家法规的基础上为客户提供优质的产品和完善的服务。</w:t>
            </w:r>
          </w:p>
          <w:p>
            <w:pPr>
              <w:pStyle w:val="14"/>
              <w:spacing w:line="240" w:lineRule="auto"/>
              <w:ind w:firstLine="420" w:firstLineChars="200"/>
              <w:rPr>
                <w:rFonts w:ascii="Times New Roman" w:hAnsi="Times New Roman"/>
                <w:sz w:val="21"/>
                <w:szCs w:val="21"/>
              </w:rPr>
            </w:pPr>
            <w:r>
              <w:rPr>
                <w:rFonts w:hint="eastAsia" w:ascii="Times New Roman" w:hAnsi="Times New Roman"/>
                <w:sz w:val="21"/>
                <w:szCs w:val="21"/>
              </w:rPr>
              <w:t>根据顾客要求、企业的经验和资源状况，以过程方法模式，识别公司的管理体系所需的过程。采用PDCA循环的管理方法。重点识别</w:t>
            </w:r>
            <w:r>
              <w:rPr>
                <w:rFonts w:hint="eastAsia" w:ascii="Times New Roman" w:hAnsi="Times New Roman"/>
                <w:sz w:val="21"/>
                <w:szCs w:val="21"/>
                <w:lang w:eastAsia="zh-CN"/>
              </w:rPr>
              <w:t>顶驱技术服务、维修及配件销售；石油钻采专用仪器仪表（测斜仪、测井仪、录井仪）的研发、制造（组装）、销售、维修及技术服务；石油钻采专用器具租赁；劳动保护用品销售</w:t>
            </w:r>
            <w:r>
              <w:rPr>
                <w:rFonts w:hint="eastAsia" w:ascii="Times New Roman" w:hAnsi="Times New Roman"/>
                <w:sz w:val="21"/>
                <w:szCs w:val="21"/>
              </w:rPr>
              <w:t>及相关环境</w:t>
            </w:r>
            <w:r>
              <w:rPr>
                <w:rFonts w:hint="eastAsia" w:ascii="Times New Roman" w:hAnsi="Times New Roman"/>
                <w:sz w:val="21"/>
                <w:szCs w:val="21"/>
                <w:lang w:eastAsia="zh-CN"/>
              </w:rPr>
              <w:t>、</w:t>
            </w:r>
            <w:r>
              <w:rPr>
                <w:rFonts w:hint="eastAsia" w:ascii="Times New Roman" w:hAnsi="Times New Roman"/>
                <w:sz w:val="21"/>
                <w:szCs w:val="21"/>
                <w:lang w:val="en-US" w:eastAsia="zh-CN"/>
              </w:rPr>
              <w:t>职业健康安全</w:t>
            </w:r>
            <w:r>
              <w:rPr>
                <w:rFonts w:hint="eastAsia" w:ascii="Times New Roman" w:hAnsi="Times New Roman"/>
                <w:sz w:val="21"/>
                <w:szCs w:val="21"/>
              </w:rPr>
              <w:t>管理活动实现过程、关键过程及其相互作用。通过把管理的过程方法原则和系统方法原理相结合，实现企业的全面管理。</w:t>
            </w:r>
          </w:p>
          <w:p>
            <w:pPr>
              <w:pStyle w:val="14"/>
              <w:spacing w:line="240" w:lineRule="auto"/>
              <w:ind w:firstLine="420" w:firstLineChars="200"/>
              <w:rPr>
                <w:rFonts w:hint="eastAsia" w:ascii="Times New Roman" w:hAnsi="Times New Roman"/>
                <w:sz w:val="21"/>
                <w:szCs w:val="21"/>
              </w:rPr>
            </w:pPr>
          </w:p>
          <w:p>
            <w:pPr>
              <w:pStyle w:val="14"/>
              <w:spacing w:line="240" w:lineRule="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---以顾客为关注焦点，对影响</w:t>
            </w:r>
            <w:r>
              <w:rPr>
                <w:rFonts w:hint="eastAsia"/>
                <w:sz w:val="21"/>
                <w:szCs w:val="21"/>
              </w:rPr>
              <w:t>公司</w:t>
            </w:r>
            <w:r>
              <w:rPr>
                <w:rFonts w:hint="eastAsia"/>
                <w:sz w:val="21"/>
                <w:szCs w:val="21"/>
                <w:lang w:val="en-US" w:eastAsia="zh-CN"/>
              </w:rPr>
              <w:t>管理体系预期结果的相关方进行了全面的识别和评价，</w:t>
            </w:r>
            <w:r>
              <w:rPr>
                <w:rFonts w:hint="eastAsia"/>
                <w:sz w:val="21"/>
                <w:szCs w:val="21"/>
              </w:rPr>
              <w:t>策划了</w:t>
            </w:r>
            <w:r>
              <w:rPr>
                <w:rFonts w:hint="eastAsia"/>
                <w:sz w:val="21"/>
                <w:szCs w:val="21"/>
                <w:lang w:eastAsia="zh-CN"/>
              </w:rPr>
              <w:t>“</w:t>
            </w:r>
            <w:r>
              <w:rPr>
                <w:rFonts w:hint="eastAsia"/>
                <w:sz w:val="21"/>
                <w:szCs w:val="21"/>
              </w:rPr>
              <w:t>组织环境分析控制程序</w:t>
            </w:r>
            <w:r>
              <w:rPr>
                <w:rFonts w:hint="eastAsia"/>
                <w:sz w:val="21"/>
                <w:szCs w:val="21"/>
                <w:lang w:eastAsia="zh-CN"/>
              </w:rPr>
              <w:t>”、</w:t>
            </w:r>
            <w:r>
              <w:rPr>
                <w:rFonts w:hint="eastAsia"/>
                <w:sz w:val="21"/>
                <w:szCs w:val="21"/>
              </w:rPr>
              <w:t>“相关方管理控制程序”、</w:t>
            </w:r>
            <w:r>
              <w:rPr>
                <w:rFonts w:hint="eastAsia"/>
                <w:sz w:val="21"/>
                <w:szCs w:val="21"/>
                <w:lang w:eastAsia="zh-CN"/>
              </w:rPr>
              <w:t>“环境因素识别与评价控制程序”、“危险源识别及风险评价控制程序”、</w:t>
            </w:r>
            <w:r>
              <w:rPr>
                <w:rFonts w:hint="eastAsia"/>
                <w:sz w:val="21"/>
                <w:szCs w:val="21"/>
              </w:rPr>
              <w:t>“法律法规和其他要求控制程序”、“合规性评价管理程序”、“满意度调查表”</w:t>
            </w:r>
            <w:r>
              <w:rPr>
                <w:rFonts w:hint="eastAsia"/>
                <w:sz w:val="21"/>
                <w:szCs w:val="21"/>
                <w:lang w:val="en-US" w:eastAsia="zh-CN"/>
              </w:rPr>
              <w:t>等</w:t>
            </w:r>
            <w:r>
              <w:rPr>
                <w:rFonts w:hint="eastAsia"/>
                <w:sz w:val="21"/>
                <w:szCs w:val="21"/>
              </w:rPr>
              <w:t>。</w:t>
            </w:r>
          </w:p>
          <w:p>
            <w:pPr>
              <w:pStyle w:val="14"/>
              <w:spacing w:line="240" w:lineRule="auto"/>
              <w:ind w:firstLine="420" w:firstLineChars="200"/>
              <w:rPr>
                <w:rFonts w:hint="default" w:ascii="Times New Roman" w:hAnsi="Times New Roman"/>
                <w:sz w:val="21"/>
                <w:szCs w:val="21"/>
                <w:lang w:val="en-US" w:eastAsia="zh-CN"/>
              </w:rPr>
            </w:pPr>
            <w:r>
              <w:rPr>
                <w:rFonts w:hint="eastAsia" w:ascii="Times New Roman" w:hAnsi="Times New Roman"/>
                <w:sz w:val="21"/>
                <w:szCs w:val="21"/>
                <w:lang w:val="en-US" w:eastAsia="zh-CN"/>
              </w:rPr>
              <w:t>出示有“组织环境识别表”、“相关方的需求和期望清单”及“ 风险和机遇评估分析表”，基于风险的思维对可能导致对过程和预期结果产生影响的公司内外部的因素、风险和机遇及与管理体系有关的相关方的信息进行了监视与评审。</w:t>
            </w:r>
          </w:p>
          <w:p>
            <w:pPr>
              <w:pStyle w:val="14"/>
              <w:spacing w:line="240" w:lineRule="auto"/>
              <w:rPr>
                <w:rFonts w:hint="eastAsia" w:ascii="Times New Roman" w:hAnsi="Times New Roman"/>
                <w:sz w:val="21"/>
                <w:szCs w:val="21"/>
                <w:lang w:val="en-US" w:eastAsia="zh-CN"/>
              </w:rPr>
            </w:pPr>
            <w:r>
              <w:rPr>
                <w:rFonts w:hint="eastAsia" w:ascii="Times New Roman" w:hAnsi="Times New Roman"/>
                <w:sz w:val="21"/>
                <w:szCs w:val="21"/>
                <w:lang w:val="en-US" w:eastAsia="zh-CN"/>
              </w:rPr>
              <w:t>---核查“风险评估报告”，用SWOT分析法对内外部因素进行了分析。 审批/日期：闫丹丹2021-10-15；抽查：</w:t>
            </w:r>
          </w:p>
          <w:p>
            <w:pPr>
              <w:rPr>
                <w:rFonts w:hint="eastAsia"/>
                <w:sz w:val="24"/>
                <w:szCs w:val="24"/>
                <w:lang w:eastAsia="zh-CN"/>
              </w:rPr>
            </w:pPr>
            <w:r>
              <w:rPr>
                <w:rFonts w:hint="eastAsia"/>
                <w:sz w:val="24"/>
                <w:szCs w:val="24"/>
              </w:rPr>
              <w:t>内部优势</w:t>
            </w:r>
            <w:r>
              <w:rPr>
                <w:rFonts w:hint="eastAsia"/>
                <w:sz w:val="24"/>
                <w:szCs w:val="24"/>
                <w:lang w:eastAsia="zh-CN"/>
              </w:rPr>
              <w:t>：</w:t>
            </w:r>
          </w:p>
          <w:p>
            <w:pPr>
              <w:rPr>
                <w:sz w:val="24"/>
                <w:szCs w:val="24"/>
              </w:rPr>
            </w:pPr>
            <w:r>
              <w:rPr>
                <w:sz w:val="24"/>
                <w:szCs w:val="24"/>
              </w:rPr>
              <w:t>1</w:t>
            </w:r>
            <w:r>
              <w:rPr>
                <w:rFonts w:hint="eastAsia"/>
                <w:sz w:val="24"/>
                <w:szCs w:val="24"/>
              </w:rPr>
              <w:t>、产品比较齐全</w:t>
            </w:r>
          </w:p>
          <w:p>
            <w:pPr>
              <w:rPr>
                <w:sz w:val="24"/>
                <w:szCs w:val="24"/>
              </w:rPr>
            </w:pPr>
            <w:r>
              <w:rPr>
                <w:sz w:val="24"/>
                <w:szCs w:val="24"/>
              </w:rPr>
              <w:t>2</w:t>
            </w:r>
            <w:r>
              <w:rPr>
                <w:rFonts w:hint="eastAsia"/>
                <w:sz w:val="24"/>
                <w:szCs w:val="24"/>
              </w:rPr>
              <w:t>、产品质量高，价格有竞争优势。</w:t>
            </w:r>
          </w:p>
          <w:p>
            <w:pPr>
              <w:pStyle w:val="14"/>
              <w:spacing w:line="240" w:lineRule="auto"/>
              <w:rPr>
                <w:rFonts w:hint="eastAsia"/>
                <w:sz w:val="24"/>
                <w:szCs w:val="24"/>
              </w:rPr>
            </w:pPr>
            <w:r>
              <w:rPr>
                <w:sz w:val="24"/>
                <w:szCs w:val="24"/>
              </w:rPr>
              <w:t>3</w:t>
            </w:r>
            <w:r>
              <w:rPr>
                <w:rFonts w:hint="eastAsia"/>
                <w:sz w:val="24"/>
                <w:szCs w:val="24"/>
              </w:rPr>
              <w:t>、有完善的管理体系</w:t>
            </w:r>
          </w:p>
          <w:p>
            <w:pPr>
              <w:pStyle w:val="14"/>
              <w:spacing w:line="240" w:lineRule="auto"/>
              <w:rPr>
                <w:rFonts w:hint="eastAsia"/>
                <w:sz w:val="24"/>
                <w:szCs w:val="24"/>
                <w:lang w:eastAsia="zh-CN"/>
              </w:rPr>
            </w:pPr>
            <w:r>
              <w:rPr>
                <w:rFonts w:hint="eastAsia"/>
                <w:sz w:val="24"/>
                <w:szCs w:val="24"/>
              </w:rPr>
              <w:t>优势</w:t>
            </w:r>
            <w:r>
              <w:rPr>
                <w:sz w:val="24"/>
                <w:szCs w:val="24"/>
              </w:rPr>
              <w:t>+</w:t>
            </w:r>
            <w:r>
              <w:rPr>
                <w:rFonts w:hint="eastAsia"/>
                <w:sz w:val="24"/>
                <w:szCs w:val="24"/>
              </w:rPr>
              <w:t>机会</w:t>
            </w:r>
            <w:r>
              <w:rPr>
                <w:rFonts w:hint="eastAsia"/>
                <w:sz w:val="24"/>
                <w:szCs w:val="24"/>
                <w:lang w:eastAsia="zh-CN"/>
              </w:rPr>
              <w:t>：</w:t>
            </w:r>
          </w:p>
          <w:p>
            <w:pPr>
              <w:rPr>
                <w:sz w:val="24"/>
                <w:szCs w:val="24"/>
              </w:rPr>
            </w:pPr>
            <w:r>
              <w:rPr>
                <w:sz w:val="24"/>
                <w:szCs w:val="24"/>
              </w:rPr>
              <w:t>1</w:t>
            </w:r>
            <w:r>
              <w:rPr>
                <w:rFonts w:hint="eastAsia"/>
                <w:sz w:val="24"/>
                <w:szCs w:val="24"/>
              </w:rPr>
              <w:t>、开发附加服务项目</w:t>
            </w:r>
          </w:p>
          <w:p>
            <w:pPr>
              <w:rPr>
                <w:sz w:val="24"/>
                <w:szCs w:val="24"/>
              </w:rPr>
            </w:pPr>
            <w:r>
              <w:rPr>
                <w:sz w:val="24"/>
                <w:szCs w:val="24"/>
              </w:rPr>
              <w:t>2</w:t>
            </w:r>
            <w:r>
              <w:rPr>
                <w:rFonts w:hint="eastAsia"/>
                <w:sz w:val="24"/>
                <w:szCs w:val="24"/>
              </w:rPr>
              <w:t>、利用好国家扶持产业优惠政策，抓住机遇，充分发挥企业优势，发展生产力，把企业做大做强</w:t>
            </w:r>
          </w:p>
          <w:p>
            <w:pPr>
              <w:rPr>
                <w:sz w:val="24"/>
                <w:szCs w:val="24"/>
              </w:rPr>
            </w:pPr>
            <w:r>
              <w:rPr>
                <w:sz w:val="24"/>
                <w:szCs w:val="24"/>
              </w:rPr>
              <w:t>3</w:t>
            </w:r>
            <w:r>
              <w:rPr>
                <w:rFonts w:hint="eastAsia"/>
                <w:sz w:val="24"/>
                <w:szCs w:val="24"/>
              </w:rPr>
              <w:t>、继续提供产品质量，进一步降低质量成本</w:t>
            </w:r>
          </w:p>
          <w:p>
            <w:pPr>
              <w:pStyle w:val="14"/>
              <w:spacing w:line="240" w:lineRule="auto"/>
              <w:rPr>
                <w:rFonts w:hint="eastAsia"/>
                <w:sz w:val="24"/>
                <w:szCs w:val="24"/>
              </w:rPr>
            </w:pPr>
            <w:r>
              <w:rPr>
                <w:sz w:val="24"/>
                <w:szCs w:val="24"/>
              </w:rPr>
              <w:t>4</w:t>
            </w:r>
            <w:r>
              <w:rPr>
                <w:rFonts w:hint="eastAsia"/>
                <w:sz w:val="24"/>
                <w:szCs w:val="24"/>
              </w:rPr>
              <w:t>、向其他区域开发，扩大市场份额</w:t>
            </w:r>
          </w:p>
          <w:p>
            <w:pPr>
              <w:pStyle w:val="14"/>
              <w:spacing w:line="240" w:lineRule="auto"/>
              <w:rPr>
                <w:rFonts w:hint="eastAsia"/>
                <w:sz w:val="24"/>
                <w:szCs w:val="24"/>
                <w:lang w:val="en-US" w:eastAsia="zh-CN"/>
              </w:rPr>
            </w:pPr>
          </w:p>
          <w:p>
            <w:r>
              <w:rPr>
                <w:rFonts w:hint="eastAsia"/>
                <w:sz w:val="21"/>
                <w:szCs w:val="21"/>
              </w:rPr>
              <w:t>——基本满足要求。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240" w:lineRule="auto"/>
              <w:rPr>
                <w:rFonts w:hint="eastAsia" w:ascii="宋体"/>
                <w:sz w:val="21"/>
                <w:szCs w:val="21"/>
              </w:rPr>
            </w:pPr>
            <w:r>
              <w:rPr>
                <w:rFonts w:hint="eastAsia" w:ascii="宋体"/>
                <w:sz w:val="21"/>
                <w:szCs w:val="21"/>
              </w:rPr>
              <w:t>管理体系范围确定的适宜性和充分性</w:t>
            </w:r>
          </w:p>
          <w:p>
            <w:pPr>
              <w:spacing w:line="240" w:lineRule="auto"/>
              <w:rPr>
                <w:rFonts w:hint="eastAsia" w:ascii="宋体"/>
                <w:sz w:val="21"/>
                <w:szCs w:val="21"/>
              </w:rPr>
            </w:pPr>
            <w:r>
              <w:rPr>
                <w:rFonts w:hint="eastAsia" w:ascii="宋体"/>
                <w:sz w:val="21"/>
                <w:szCs w:val="21"/>
              </w:rPr>
              <w:t>管理体系策划、建立、</w:t>
            </w:r>
          </w:p>
          <w:p>
            <w:pPr>
              <w:spacing w:line="240" w:lineRule="auto"/>
              <w:rPr>
                <w:rFonts w:hint="eastAsia" w:ascii="宋体"/>
                <w:sz w:val="21"/>
                <w:szCs w:val="21"/>
              </w:rPr>
            </w:pPr>
            <w:r>
              <w:rPr>
                <w:rFonts w:hint="eastAsia" w:ascii="宋体"/>
                <w:sz w:val="21"/>
                <w:szCs w:val="21"/>
              </w:rPr>
              <w:t>变更的策划</w:t>
            </w:r>
          </w:p>
          <w:p/>
        </w:tc>
        <w:tc>
          <w:tcPr>
            <w:tcW w:w="960" w:type="dxa"/>
          </w:tcPr>
          <w:p>
            <w:pPr>
              <w:spacing w:line="240" w:lineRule="auto"/>
              <w:rPr>
                <w:rFonts w:hint="eastAsia"/>
                <w:lang w:val="en-US" w:eastAsia="zh-CN"/>
              </w:rPr>
            </w:pPr>
            <w:r>
              <w:rPr>
                <w:rFonts w:hint="eastAsia"/>
                <w:lang w:val="en-US" w:eastAsia="zh-CN"/>
              </w:rPr>
              <w:t>QES4.3/4.4;</w:t>
            </w:r>
          </w:p>
          <w:p>
            <w:r>
              <w:rPr>
                <w:rFonts w:hint="eastAsia"/>
                <w:sz w:val="21"/>
                <w:szCs w:val="21"/>
                <w:lang w:val="en-US" w:eastAsia="zh-CN"/>
              </w:rPr>
              <w:t>Q6.3</w:t>
            </w:r>
          </w:p>
        </w:tc>
        <w:tc>
          <w:tcPr>
            <w:tcW w:w="10004" w:type="dxa"/>
          </w:tcPr>
          <w:p>
            <w:pPr>
              <w:rPr>
                <w:rFonts w:hint="eastAsia"/>
                <w:lang w:val="en-US" w:eastAsia="zh-CN"/>
              </w:rPr>
            </w:pPr>
            <w:r>
              <w:rPr>
                <w:rFonts w:hint="eastAsia"/>
                <w:lang w:val="en-US" w:eastAsia="zh-CN"/>
              </w:rPr>
              <w:t>---查管理手册1.2.1：本管理手册覆盖了本公司顶驱技术服务、维修及配件销售；石油钻采专用仪器仪表（测斜仪、测井仪、录井仪）的研发、制造、销售、维修、租赁及技术服务；劳动保护用品销售全过程及相关管理活动，适用于公司内部管理，也适用于第二方的审核和第三方的认证审核。即：</w:t>
            </w:r>
          </w:p>
          <w:p>
            <w:pPr>
              <w:rPr>
                <w:rFonts w:hint="eastAsia"/>
              </w:rPr>
            </w:pPr>
            <w:r>
              <w:rPr>
                <w:rFonts w:hint="eastAsia"/>
              </w:rPr>
              <w:t>Q:顶驱技术服务、维修及配件销售；石油钻采专用仪器仪表（测斜仪、测井仪、录井仪）的研发、制造（组装）、销售、维修及技术服务；石油钻采专用器具租赁；劳动保护用品销售</w:t>
            </w:r>
          </w:p>
          <w:p>
            <w:pPr>
              <w:rPr>
                <w:rFonts w:hint="eastAsia"/>
              </w:rPr>
            </w:pPr>
            <w:r>
              <w:rPr>
                <w:rFonts w:hint="eastAsia"/>
              </w:rPr>
              <w:t>E:顶驱技术服务、维修及配件销售；石油钻采专用仪器仪表（测斜仪、测井仪、录井仪）的研发、制造（组装）、销售、维修及技术服务；石油钻采专用器具租赁；劳动保护用品销售所涉及场所的相关环境管理活动</w:t>
            </w:r>
          </w:p>
          <w:p>
            <w:pPr>
              <w:pStyle w:val="2"/>
              <w:rPr>
                <w:rFonts w:hint="eastAsia"/>
              </w:rPr>
            </w:pPr>
            <w:r>
              <w:rPr>
                <w:rFonts w:hint="eastAsia"/>
              </w:rPr>
              <w:t>O:顶驱技术服务、维修及配件销售；石油钻采专用仪器仪表（测斜仪、测井仪、录井仪）的研发、制造（组装）、销售、维修及技术服务；石油钻采专用器具租赁；劳动保护用品销售所涉及场所的相关职业健康安全管理活动</w:t>
            </w:r>
          </w:p>
          <w:p>
            <w:pPr>
              <w:pStyle w:val="14"/>
              <w:spacing w:line="240" w:lineRule="auto"/>
              <w:rPr>
                <w:rFonts w:hint="default" w:ascii="Times New Roman" w:hAnsi="Times New Roman"/>
                <w:sz w:val="21"/>
                <w:szCs w:val="21"/>
                <w:lang w:val="en-US" w:eastAsia="zh-CN"/>
              </w:rPr>
            </w:pPr>
            <w:r>
              <w:rPr>
                <w:rFonts w:hint="eastAsia" w:ascii="Times New Roman" w:hAnsi="Times New Roman"/>
                <w:sz w:val="21"/>
                <w:szCs w:val="21"/>
                <w:lang w:val="en-US" w:eastAsia="zh-CN"/>
              </w:rPr>
              <w:t>物理边界：</w:t>
            </w:r>
          </w:p>
          <w:p>
            <w:pPr>
              <w:pStyle w:val="14"/>
              <w:spacing w:line="240" w:lineRule="auto"/>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注册地址：</w:t>
            </w:r>
            <w:bookmarkStart w:id="2" w:name="注册地址"/>
            <w:r>
              <w:rPr>
                <w:rFonts w:asciiTheme="minorEastAsia" w:hAnsiTheme="minorEastAsia" w:eastAsiaTheme="minorEastAsia"/>
                <w:sz w:val="21"/>
                <w:szCs w:val="21"/>
              </w:rPr>
              <w:t>黑龙江省大庆高新区博学大街23-B号办公1609卡台8房间</w:t>
            </w:r>
            <w:bookmarkEnd w:id="2"/>
            <w:r>
              <w:rPr>
                <w:rFonts w:hint="eastAsia" w:asciiTheme="minorEastAsia" w:hAnsiTheme="minorEastAsia" w:eastAsiaTheme="minorEastAsia"/>
                <w:sz w:val="21"/>
                <w:szCs w:val="21"/>
                <w:lang w:eastAsia="zh-CN"/>
              </w:rPr>
              <w:t>；</w:t>
            </w:r>
          </w:p>
          <w:p>
            <w:pPr>
              <w:pStyle w:val="14"/>
              <w:spacing w:line="240" w:lineRule="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办公地址：</w:t>
            </w:r>
            <w:bookmarkStart w:id="3" w:name="生产地址"/>
            <w:r>
              <w:rPr>
                <w:rFonts w:asciiTheme="minorEastAsia" w:hAnsiTheme="minorEastAsia" w:eastAsiaTheme="minorEastAsia"/>
                <w:sz w:val="21"/>
                <w:szCs w:val="21"/>
              </w:rPr>
              <w:t>黑龙江省大庆市让胡路区乘风街道龙华路69号</w:t>
            </w:r>
            <w:bookmarkEnd w:id="3"/>
            <w:r>
              <w:rPr>
                <w:rFonts w:hint="eastAsia" w:ascii="Times New Roman" w:hAnsi="Times New Roman" w:cs="Times New Roman"/>
                <w:sz w:val="21"/>
                <w:szCs w:val="21"/>
                <w:lang w:val="en-US" w:eastAsia="zh-CN"/>
              </w:rPr>
              <w:t>；</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经识别的外包过程：</w:t>
            </w:r>
            <w:r>
              <w:rPr>
                <w:rFonts w:hint="eastAsia" w:cs="Times New Roman"/>
                <w:sz w:val="21"/>
                <w:szCs w:val="21"/>
                <w:lang w:val="en-US" w:eastAsia="zh-CN"/>
              </w:rPr>
              <w:t>负责人表述，</w:t>
            </w:r>
            <w:r>
              <w:rPr>
                <w:rFonts w:hint="eastAsia" w:ascii="宋体" w:hAnsi="宋体" w:cs="宋体"/>
                <w:kern w:val="0"/>
                <w:sz w:val="21"/>
                <w:szCs w:val="21"/>
              </w:rPr>
              <w:t>公司暂无外包过程发生</w:t>
            </w:r>
            <w:r>
              <w:rPr>
                <w:rFonts w:hint="eastAsia" w:ascii="宋体" w:hAnsi="宋体" w:cs="宋体"/>
                <w:sz w:val="21"/>
                <w:szCs w:val="21"/>
              </w:rPr>
              <w:t>。</w:t>
            </w:r>
          </w:p>
          <w:p>
            <w:pPr>
              <w:pStyle w:val="14"/>
              <w:spacing w:line="240" w:lineRule="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查组</w:t>
            </w:r>
            <w:r>
              <w:rPr>
                <w:rFonts w:hint="eastAsia" w:ascii="Times New Roman" w:hAnsi="Times New Roman" w:eastAsia="宋体" w:cs="Times New Roman"/>
                <w:kern w:val="2"/>
                <w:sz w:val="21"/>
                <w:szCs w:val="21"/>
                <w:lang w:val="en-US" w:eastAsia="zh-CN" w:bidi="ar-SA"/>
              </w:rPr>
              <w:t>织机构图：覆盖的部门为总经理领导下的综合部、市场开发部、生产部、质检部、技术服务部组成</w:t>
            </w:r>
            <w:r>
              <w:rPr>
                <w:rFonts w:hint="eastAsia" w:ascii="Times New Roman" w:hAnsi="Times New Roman" w:eastAsia="宋体" w:cs="Times New Roman"/>
                <w:sz w:val="21"/>
                <w:szCs w:val="21"/>
                <w:lang w:val="en-US" w:eastAsia="zh-CN"/>
              </w:rPr>
              <w:t>。</w:t>
            </w:r>
          </w:p>
          <w:p>
            <w:pPr>
              <w:pStyle w:val="14"/>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——针对上述范围再一次与</w:t>
            </w:r>
            <w:r>
              <w:rPr>
                <w:rFonts w:hint="eastAsia" w:ascii="Times New Roman" w:hAnsi="Times New Roman" w:cs="Times New Roman"/>
                <w:sz w:val="21"/>
                <w:szCs w:val="21"/>
                <w:lang w:val="en-US" w:eastAsia="zh-CN"/>
              </w:rPr>
              <w:t>管代</w:t>
            </w:r>
            <w:r>
              <w:rPr>
                <w:rFonts w:hint="eastAsia" w:ascii="Times New Roman" w:hAnsi="Times New Roman" w:eastAsia="宋体" w:cs="Times New Roman"/>
                <w:sz w:val="21"/>
                <w:szCs w:val="21"/>
                <w:lang w:val="en-US" w:eastAsia="zh-CN"/>
              </w:rPr>
              <w:t>进行了确认。</w:t>
            </w:r>
          </w:p>
          <w:p>
            <w:pPr>
              <w:pStyle w:val="14"/>
              <w:spacing w:line="240" w:lineRule="auto"/>
              <w:rPr>
                <w:rFonts w:hint="eastAsia" w:ascii="Times New Roman" w:hAnsi="Times New Roman" w:eastAsia="宋体" w:cs="Times New Roman"/>
                <w:sz w:val="21"/>
                <w:szCs w:val="21"/>
                <w:lang w:val="en-US" w:eastAsia="zh-CN"/>
              </w:rPr>
            </w:pPr>
          </w:p>
          <w:p>
            <w:pPr>
              <w:spacing w:line="240" w:lineRule="auto"/>
              <w:jc w:val="left"/>
              <w:rPr>
                <w:sz w:val="21"/>
                <w:szCs w:val="21"/>
              </w:rPr>
            </w:pPr>
            <w:r>
              <w:rPr>
                <w:rFonts w:hint="eastAsia"/>
                <w:sz w:val="21"/>
                <w:szCs w:val="21"/>
                <w:lang w:val="en-US" w:eastAsia="zh-CN"/>
              </w:rPr>
              <w:t>--</w:t>
            </w:r>
            <w:r>
              <w:rPr>
                <w:rFonts w:hint="eastAsia"/>
                <w:sz w:val="21"/>
                <w:szCs w:val="21"/>
              </w:rPr>
              <w:t>建立管理体系的目的：</w:t>
            </w:r>
          </w:p>
          <w:p>
            <w:pPr>
              <w:spacing w:line="240" w:lineRule="auto"/>
              <w:jc w:val="left"/>
              <w:rPr>
                <w:rFonts w:hint="eastAsia" w:eastAsia="宋体"/>
                <w:sz w:val="21"/>
                <w:szCs w:val="21"/>
                <w:lang w:eastAsia="zh-CN"/>
              </w:rPr>
            </w:pPr>
            <w:r>
              <w:rPr>
                <w:rFonts w:hint="eastAsia"/>
                <w:sz w:val="21"/>
                <w:szCs w:val="21"/>
              </w:rPr>
              <w:t>公司领导说明根据行业招投标要求建立管理体系，也是为了进一步规范企业的管理</w:t>
            </w:r>
            <w:r>
              <w:rPr>
                <w:rFonts w:hint="eastAsia"/>
                <w:sz w:val="21"/>
                <w:szCs w:val="21"/>
                <w:lang w:eastAsia="zh-CN"/>
              </w:rPr>
              <w:t>。</w:t>
            </w:r>
          </w:p>
          <w:p>
            <w:pPr>
              <w:pStyle w:val="14"/>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--建立了管理体系文件，包括：管理手册、程序文件</w:t>
            </w:r>
            <w:r>
              <w:rPr>
                <w:rFonts w:hint="eastAsia" w:ascii="Times New Roman" w:hAnsi="Times New Roman" w:cs="Times New Roman"/>
                <w:sz w:val="21"/>
                <w:szCs w:val="21"/>
                <w:lang w:val="en-US" w:eastAsia="zh-CN"/>
              </w:rPr>
              <w:t>汇编</w:t>
            </w:r>
            <w:r>
              <w:rPr>
                <w:rFonts w:hint="eastAsia" w:ascii="Times New Roman" w:hAnsi="Times New Roman" w:eastAsia="宋体" w:cs="Times New Roman"/>
                <w:sz w:val="21"/>
                <w:szCs w:val="21"/>
                <w:lang w:val="en-US" w:eastAsia="zh-CN"/>
              </w:rPr>
              <w:t>、管理制度汇编--等。</w:t>
            </w:r>
          </w:p>
          <w:p>
            <w:pPr>
              <w:pStyle w:val="14"/>
              <w:spacing w:line="240" w:lineRule="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在管理手册中包括QES整合的方针和目标、组织机构、职能分配表、各部门职责、流程图、管理体系要求等。</w:t>
            </w:r>
          </w:p>
          <w:p>
            <w:pPr>
              <w:pStyle w:val="14"/>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--主要产品实现过程为：</w:t>
            </w:r>
          </w:p>
          <w:p>
            <w:pPr>
              <w:pStyle w:val="14"/>
              <w:spacing w:line="240" w:lineRule="auto"/>
              <w:rPr>
                <w:rFonts w:hint="eastAsia" w:ascii="Times New Roman" w:hAnsi="Times New Roman"/>
                <w:sz w:val="21"/>
                <w:szCs w:val="21"/>
                <w:lang w:val="en-US" w:eastAsia="zh-CN"/>
              </w:rPr>
            </w:pPr>
            <w:r>
              <w:rPr>
                <w:rFonts w:hint="eastAsia" w:ascii="Times New Roman" w:hAnsi="Times New Roman"/>
                <w:sz w:val="21"/>
                <w:szCs w:val="21"/>
                <w:lang w:val="en-US" w:eastAsia="zh-CN"/>
              </w:rPr>
              <w:t>——仪器仪表</w:t>
            </w:r>
            <w:r>
              <w:rPr>
                <w:rFonts w:hint="eastAsia" w:ascii="Times New Roman" w:hAnsi="Times New Roman"/>
                <w:sz w:val="21"/>
                <w:szCs w:val="21"/>
                <w:lang w:eastAsia="zh-CN"/>
              </w:rPr>
              <w:t>加工（生产）工艺流程：</w:t>
            </w:r>
            <w:r>
              <w:rPr>
                <w:rFonts w:hint="eastAsia" w:ascii="Times New Roman" w:hAnsi="Times New Roman"/>
                <w:sz w:val="21"/>
                <w:szCs w:val="21"/>
                <w:lang w:val="en-US" w:eastAsia="zh-CN"/>
              </w:rPr>
              <w:t>生产任务下达--原料采购--机加工/电子焊接、装配（调试、测试）--组装--系统联调、验收--入库；</w:t>
            </w:r>
          </w:p>
          <w:p>
            <w:pPr>
              <w:pStyle w:val="14"/>
              <w:spacing w:line="240" w:lineRule="auto"/>
              <w:rPr>
                <w:rFonts w:hint="eastAsia" w:ascii="Times New Roman" w:hAnsi="Times New Roman"/>
                <w:sz w:val="21"/>
                <w:szCs w:val="21"/>
                <w:lang w:val="en-US" w:eastAsia="zh-CN"/>
              </w:rPr>
            </w:pPr>
            <w:r>
              <w:rPr>
                <w:rFonts w:hint="eastAsia" w:ascii="Times New Roman" w:hAnsi="Times New Roman"/>
                <w:sz w:val="21"/>
                <w:szCs w:val="21"/>
                <w:lang w:val="en-US" w:eastAsia="zh-CN"/>
              </w:rPr>
              <w:t>——技术服务流程：服务通知单--设备到场验收、记录--设备的拆装、调试--工具、用具收回建账--设备维护保养、检修--日常巡检，消除隐患--培训各岗位按规操作--依工序作针对性服务--及时沟通信息并反馈--填写当天日报等资料--编写本井服务总结--设备搬家装卸、押运；</w:t>
            </w:r>
          </w:p>
          <w:p>
            <w:pPr>
              <w:pStyle w:val="14"/>
              <w:spacing w:line="240" w:lineRule="auto"/>
              <w:rPr>
                <w:rFonts w:hint="default" w:ascii="Times New Roman" w:hAnsi="Times New Roman"/>
                <w:sz w:val="21"/>
                <w:szCs w:val="21"/>
                <w:lang w:val="en-US" w:eastAsia="zh-CN"/>
              </w:rPr>
            </w:pPr>
            <w:r>
              <w:rPr>
                <w:rFonts w:hint="eastAsia" w:ascii="Times New Roman" w:hAnsi="Times New Roman"/>
                <w:sz w:val="21"/>
                <w:szCs w:val="21"/>
                <w:lang w:val="en-US" w:eastAsia="zh-CN"/>
              </w:rPr>
              <w:t>——维修流程：维修通知单--设备入场验收、检查--设备的清洗、拆卸--检查内部维修点项--承载承压部探伤试压--维修方案上报用户--依方案拆卸维修部位--维修配件清点核对--及时沟通信息并反馈--按照维修流程装配--防腐、喷漆、保养--出具报告，汇总资料；</w:t>
            </w:r>
          </w:p>
          <w:p>
            <w:pPr>
              <w:pStyle w:val="14"/>
              <w:spacing w:line="240" w:lineRule="auto"/>
              <w:rPr>
                <w:rFonts w:hint="default" w:ascii="Times New Roman" w:hAnsi="Times New Roman"/>
                <w:sz w:val="21"/>
                <w:szCs w:val="21"/>
                <w:lang w:val="en-US" w:eastAsia="zh-CN"/>
              </w:rPr>
            </w:pPr>
            <w:r>
              <w:rPr>
                <w:rFonts w:hint="eastAsia" w:ascii="Times New Roman" w:hAnsi="Times New Roman"/>
                <w:sz w:val="21"/>
                <w:szCs w:val="21"/>
                <w:lang w:eastAsia="zh-CN"/>
              </w:rPr>
              <w:t>——</w:t>
            </w:r>
            <w:r>
              <w:rPr>
                <w:rFonts w:hint="eastAsia" w:ascii="Times New Roman" w:hAnsi="Times New Roman"/>
                <w:sz w:val="21"/>
                <w:szCs w:val="21"/>
                <w:lang w:val="en-US" w:eastAsia="zh-CN"/>
              </w:rPr>
              <w:t>租赁流程：租赁通知单--设备到场验收、清查、登记--与甲方沟通,确定安装方案--顶驱本体和配套设备安装--电控、液压、机械、系统调试--设备使用，日常保养、维护--IBOP、下旋塞转换接头检测--依据钻井工序，作针对性服--协作沟通与信息反馈--设备综合检修、保养、搬运--业务结算与服务总结；</w:t>
            </w:r>
          </w:p>
          <w:p>
            <w:pPr>
              <w:pStyle w:val="14"/>
              <w:spacing w:line="240" w:lineRule="auto"/>
              <w:rPr>
                <w:rFonts w:hint="eastAsia" w:ascii="Times New Roman" w:hAnsi="Times New Roman"/>
                <w:sz w:val="21"/>
                <w:szCs w:val="21"/>
                <w:lang w:eastAsia="zh-CN"/>
              </w:rPr>
            </w:pPr>
            <w:r>
              <w:rPr>
                <w:rFonts w:hint="eastAsia" w:ascii="Times New Roman" w:hAnsi="Times New Roman"/>
                <w:sz w:val="21"/>
                <w:szCs w:val="21"/>
                <w:lang w:eastAsia="zh-CN"/>
              </w:rPr>
              <w:t>——研发</w:t>
            </w:r>
            <w:r>
              <w:rPr>
                <w:rFonts w:hint="eastAsia" w:ascii="Times New Roman" w:hAnsi="Times New Roman"/>
                <w:sz w:val="21"/>
                <w:szCs w:val="21"/>
                <w:lang w:val="en-US" w:eastAsia="zh-CN"/>
              </w:rPr>
              <w:t>流程</w:t>
            </w:r>
            <w:r>
              <w:rPr>
                <w:rFonts w:hint="eastAsia" w:ascii="Times New Roman" w:hAnsi="Times New Roman"/>
                <w:sz w:val="21"/>
                <w:szCs w:val="21"/>
                <w:lang w:eastAsia="zh-CN"/>
              </w:rPr>
              <w:t>：客户需求分析—设计策划、输入、输出、评审、验证、确认—样品制作—测试—验收—交付/批量生产；</w:t>
            </w:r>
          </w:p>
          <w:p>
            <w:pPr>
              <w:pStyle w:val="14"/>
              <w:spacing w:line="240" w:lineRule="auto"/>
              <w:rPr>
                <w:rFonts w:hint="eastAsia" w:ascii="Times New Roman" w:hAnsi="Times New Roman" w:cs="Times New Roman"/>
                <w:sz w:val="21"/>
                <w:szCs w:val="21"/>
                <w:lang w:val="en-US" w:eastAsia="zh-CN"/>
              </w:rPr>
            </w:pP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确认过程：销售过程</w:t>
            </w:r>
            <w:r>
              <w:rPr>
                <w:rFonts w:hint="eastAsia" w:ascii="Times New Roman" w:hAnsi="Times New Roman" w:cs="Times New Roman"/>
                <w:sz w:val="21"/>
                <w:szCs w:val="21"/>
                <w:lang w:val="en-US" w:eastAsia="zh-CN"/>
              </w:rPr>
              <w:t>、焊接过程。</w:t>
            </w:r>
          </w:p>
          <w:p>
            <w:pPr>
              <w:pStyle w:val="14"/>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---外包过程：悬挂接头、坐键短节、坐键循环套等原材料的外协加工，按采购程序管理。</w:t>
            </w:r>
          </w:p>
          <w:p>
            <w:pPr>
              <w:pStyle w:val="14"/>
              <w:spacing w:line="240" w:lineRule="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---变更的策划：管代说明建立管理体系至今无变化。</w:t>
            </w:r>
          </w:p>
          <w:p>
            <w:pPr>
              <w:pStyle w:val="2"/>
              <w:rPr>
                <w:rFonts w:hint="default"/>
                <w:lang w:val="en-US" w:eastAsia="zh-CN"/>
              </w:rPr>
            </w:pPr>
            <w:r>
              <w:rPr>
                <w:rFonts w:hint="eastAsia" w:ascii="Times New Roman" w:hAnsi="Times New Roman" w:eastAsia="宋体" w:cs="Times New Roman"/>
                <w:sz w:val="21"/>
                <w:szCs w:val="21"/>
                <w:lang w:val="en-US" w:eastAsia="zh-CN"/>
              </w:rPr>
              <w:t>——上述经本次</w:t>
            </w:r>
            <w:r>
              <w:rPr>
                <w:rFonts w:hint="eastAsia" w:ascii="Times New Roman" w:hAnsi="Times New Roman" w:cs="Times New Roman"/>
                <w:sz w:val="21"/>
                <w:szCs w:val="21"/>
                <w:lang w:val="en-US" w:eastAsia="zh-CN"/>
              </w:rPr>
              <w:t>远程</w:t>
            </w:r>
            <w:r>
              <w:rPr>
                <w:rFonts w:hint="eastAsia" w:ascii="Times New Roman" w:hAnsi="Times New Roman" w:eastAsia="宋体" w:cs="Times New Roman"/>
                <w:sz w:val="21"/>
                <w:szCs w:val="21"/>
                <w:lang w:val="en-US" w:eastAsia="zh-CN"/>
              </w:rPr>
              <w:t>审核确认有效</w:t>
            </w:r>
            <w:r>
              <w:rPr>
                <w:rFonts w:hint="eastAsia" w:ascii="Times New Roman" w:hAnsi="Times New Roman" w:cs="Times New Roman"/>
                <w:sz w:val="21"/>
                <w:szCs w:val="21"/>
                <w:lang w:val="en-US"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rPr>
            </w:pPr>
            <w:r>
              <w:rPr>
                <w:rFonts w:hint="eastAsia"/>
              </w:rPr>
              <w:t>领导作用和承诺</w:t>
            </w:r>
          </w:p>
          <w:p>
            <w:pPr>
              <w:spacing w:line="240" w:lineRule="auto"/>
              <w:rPr>
                <w:rFonts w:hint="eastAsia"/>
              </w:rPr>
            </w:pPr>
            <w:r>
              <w:rPr>
                <w:rFonts w:hint="eastAsia"/>
              </w:rPr>
              <w:t>岗位、职责、责任和权限</w:t>
            </w:r>
          </w:p>
          <w:p/>
        </w:tc>
        <w:tc>
          <w:tcPr>
            <w:tcW w:w="960" w:type="dxa"/>
          </w:tcPr>
          <w:p>
            <w:pPr>
              <w:spacing w:line="240" w:lineRule="auto"/>
              <w:rPr>
                <w:rFonts w:hint="eastAsia"/>
                <w:lang w:val="en-US" w:eastAsia="zh-CN"/>
              </w:rPr>
            </w:pPr>
            <w:r>
              <w:rPr>
                <w:rFonts w:hint="eastAsia"/>
                <w:lang w:val="en-US" w:eastAsia="zh-CN"/>
              </w:rPr>
              <w:t>QES5.1/5.3</w:t>
            </w:r>
          </w:p>
          <w:p/>
        </w:tc>
        <w:tc>
          <w:tcPr>
            <w:tcW w:w="10004" w:type="dxa"/>
          </w:tcPr>
          <w:p>
            <w:pPr>
              <w:spacing w:line="240" w:lineRule="auto"/>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―查“质量/环境/职业健安全管理手册”中包括管理体系标准要求的领导作用和承诺内容</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查管理手册中包括管理者代表任命书，并规定了其职责，管代口述职责，正确</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查管理手册中包括员工代表任命书，并规定了其职责，员工代表口述职责，正确</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查管理手册中包括ＱＥＳ方针、目标、组织机构、职责等</w:t>
            </w:r>
            <w:r>
              <w:rPr>
                <w:rFonts w:hint="eastAsia" w:ascii="Times New Roman" w:hAnsi="Times New Roman" w:eastAsia="宋体" w:cs="Times New Roman"/>
                <w:sz w:val="21"/>
                <w:szCs w:val="21"/>
                <w:lang w:eastAsia="zh-CN"/>
              </w:rPr>
              <w:t>。</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---查顾客满意度统计及分析报告，调查与分析结果，实现预期。</w:t>
            </w:r>
          </w:p>
          <w:p>
            <w:pPr>
              <w:spacing w:line="24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能够提供管理体系建立、运行的资源；实施内审、管理评审等。</w:t>
            </w:r>
          </w:p>
          <w:p>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宋体" w:hAnsi="宋体"/>
              </w:rPr>
              <w:t>管理方针、目标</w:t>
            </w:r>
          </w:p>
        </w:tc>
        <w:tc>
          <w:tcPr>
            <w:tcW w:w="960" w:type="dxa"/>
          </w:tcPr>
          <w:p>
            <w:pPr>
              <w:spacing w:line="240" w:lineRule="auto"/>
              <w:rPr>
                <w:rFonts w:hint="default"/>
                <w:lang w:val="en-US" w:eastAsia="zh-CN"/>
              </w:rPr>
            </w:pPr>
            <w:r>
              <w:rPr>
                <w:rFonts w:hint="eastAsia"/>
                <w:lang w:val="en-US" w:eastAsia="zh-CN"/>
              </w:rPr>
              <w:t>QES5.2/6.2</w:t>
            </w:r>
          </w:p>
          <w:p/>
        </w:tc>
        <w:tc>
          <w:tcPr>
            <w:tcW w:w="10004" w:type="dxa"/>
          </w:tcPr>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在管理手册中建立公司的质量、环境和职业健康安全管理方针和目标，基本适宜</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质量、环境和职业健康安全方针：：</w:t>
            </w:r>
          </w:p>
          <w:p>
            <w:pPr>
              <w:spacing w:line="24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精益求精，追求卓越，确保顾客始终满意是我们永恒的追求；</w:t>
            </w:r>
          </w:p>
          <w:p>
            <w:pPr>
              <w:spacing w:line="24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预防污染，达标排放，节能降耗，建设绿色环保型企业；</w:t>
            </w:r>
          </w:p>
          <w:p>
            <w:pPr>
              <w:spacing w:line="240" w:lineRule="auto"/>
              <w:jc w:val="left"/>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安全第一，预防为主，有法可依，员工的安全健康至上。</w:t>
            </w:r>
          </w:p>
          <w:p>
            <w:pPr>
              <w:spacing w:line="240" w:lineRule="auto"/>
              <w:jc w:val="left"/>
              <w:rPr>
                <w:rFonts w:hint="eastAsia" w:ascii="Times New Roman" w:hAnsi="Times New Roman" w:eastAsia="宋体" w:cs="Times New Roman"/>
                <w:sz w:val="21"/>
                <w:szCs w:val="21"/>
              </w:rPr>
            </w:pPr>
            <w:r>
              <w:rPr>
                <w:rFonts w:hint="eastAsia" w:cs="Times New Roman"/>
                <w:sz w:val="21"/>
                <w:szCs w:val="21"/>
                <w:lang w:val="en-US" w:eastAsia="zh-CN"/>
              </w:rPr>
              <w:t>——</w:t>
            </w:r>
            <w:r>
              <w:rPr>
                <w:rFonts w:hint="eastAsia" w:ascii="Times New Roman" w:hAnsi="Times New Roman" w:eastAsia="宋体" w:cs="Times New Roman"/>
                <w:sz w:val="21"/>
                <w:szCs w:val="21"/>
              </w:rPr>
              <w:t>ＱＥＳ方针与公司战略相适宜</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 xml:space="preserve"> </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管理目标</w:t>
            </w:r>
            <w:r>
              <w:rPr>
                <w:rFonts w:hint="eastAsia" w:ascii="Times New Roman" w:hAnsi="Times New Roman" w:eastAsia="宋体" w:cs="Times New Roman"/>
                <w:sz w:val="21"/>
                <w:szCs w:val="21"/>
                <w:lang w:eastAsia="zh-CN"/>
              </w:rPr>
              <w:t>：</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3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981" w:type="dxa"/>
                  <w:vMerge w:val="restart"/>
                  <w:noWrap w:val="0"/>
                  <w:vAlign w:val="center"/>
                </w:tcPr>
                <w:p>
                  <w:pPr>
                    <w:tabs>
                      <w:tab w:val="left" w:pos="1800"/>
                    </w:tabs>
                    <w:spacing w:line="360" w:lineRule="auto"/>
                    <w:jc w:val="center"/>
                    <w:rPr>
                      <w:rFonts w:hint="eastAsia" w:ascii="宋体" w:hAnsi="宋体" w:cs="宋体"/>
                      <w:bCs/>
                      <w:color w:val="000000"/>
                      <w:sz w:val="24"/>
                    </w:rPr>
                  </w:pPr>
                  <w:r>
                    <w:rPr>
                      <w:rFonts w:hint="eastAsia" w:ascii="宋体" w:hAnsi="宋体" w:cs="宋体"/>
                      <w:bCs/>
                      <w:color w:val="000000"/>
                      <w:sz w:val="24"/>
                    </w:rPr>
                    <w:t>质量目标</w:t>
                  </w:r>
                </w:p>
              </w:tc>
              <w:tc>
                <w:tcPr>
                  <w:tcW w:w="3499" w:type="dxa"/>
                  <w:noWrap w:val="0"/>
                  <w:vAlign w:val="center"/>
                </w:tcPr>
                <w:p>
                  <w:pPr>
                    <w:tabs>
                      <w:tab w:val="left" w:pos="1800"/>
                    </w:tabs>
                    <w:spacing w:line="360" w:lineRule="auto"/>
                    <w:rPr>
                      <w:rFonts w:hint="eastAsia" w:ascii="宋体" w:hAnsi="宋体" w:cs="宋体"/>
                      <w:sz w:val="24"/>
                    </w:rPr>
                  </w:pPr>
                  <w:r>
                    <w:rPr>
                      <w:rFonts w:hint="eastAsia" w:ascii="宋体" w:hAnsi="宋体" w:cs="宋体"/>
                      <w:sz w:val="24"/>
                    </w:rPr>
                    <w:t>一次交付合格率100%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981" w:type="dxa"/>
                  <w:vMerge w:val="continue"/>
                  <w:noWrap w:val="0"/>
                  <w:vAlign w:val="center"/>
                </w:tcPr>
                <w:p>
                  <w:pPr>
                    <w:tabs>
                      <w:tab w:val="left" w:pos="1800"/>
                    </w:tabs>
                    <w:spacing w:line="360" w:lineRule="auto"/>
                    <w:rPr>
                      <w:rFonts w:hint="eastAsia" w:ascii="宋体" w:hAnsi="宋体" w:cs="宋体"/>
                      <w:b/>
                      <w:bCs/>
                      <w:color w:val="000000"/>
                      <w:sz w:val="24"/>
                    </w:rPr>
                  </w:pPr>
                </w:p>
              </w:tc>
              <w:tc>
                <w:tcPr>
                  <w:tcW w:w="3499" w:type="dxa"/>
                  <w:noWrap w:val="0"/>
                  <w:vAlign w:val="center"/>
                </w:tcPr>
                <w:p>
                  <w:pPr>
                    <w:tabs>
                      <w:tab w:val="left" w:pos="1800"/>
                    </w:tabs>
                    <w:spacing w:line="360" w:lineRule="auto"/>
                    <w:rPr>
                      <w:rFonts w:hint="eastAsia" w:ascii="宋体" w:hAnsi="宋体" w:cs="宋体"/>
                      <w:sz w:val="24"/>
                    </w:rPr>
                  </w:pPr>
                  <w:r>
                    <w:rPr>
                      <w:rFonts w:hint="eastAsia" w:ascii="宋体" w:hAnsi="宋体" w:cs="宋体"/>
                      <w:sz w:val="24"/>
                    </w:rPr>
                    <w:t>客户满意率≥95%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981" w:type="dxa"/>
                  <w:vMerge w:val="restart"/>
                  <w:noWrap w:val="0"/>
                  <w:vAlign w:val="center"/>
                </w:tcPr>
                <w:p>
                  <w:pPr>
                    <w:tabs>
                      <w:tab w:val="left" w:pos="1800"/>
                    </w:tabs>
                    <w:spacing w:line="360" w:lineRule="auto"/>
                    <w:jc w:val="center"/>
                    <w:rPr>
                      <w:rFonts w:hint="eastAsia" w:ascii="宋体" w:hAnsi="宋体" w:cs="宋体"/>
                      <w:bCs/>
                      <w:color w:val="000000"/>
                      <w:sz w:val="24"/>
                    </w:rPr>
                  </w:pPr>
                  <w:r>
                    <w:rPr>
                      <w:rFonts w:hint="eastAsia" w:ascii="宋体" w:hAnsi="宋体" w:cs="宋体"/>
                      <w:bCs/>
                      <w:color w:val="000000"/>
                      <w:sz w:val="24"/>
                    </w:rPr>
                    <w:t>环境目标、指标</w:t>
                  </w:r>
                </w:p>
              </w:tc>
              <w:tc>
                <w:tcPr>
                  <w:tcW w:w="3499" w:type="dxa"/>
                  <w:noWrap w:val="0"/>
                  <w:vAlign w:val="center"/>
                </w:tcPr>
                <w:p>
                  <w:pPr>
                    <w:tabs>
                      <w:tab w:val="left" w:pos="1800"/>
                    </w:tabs>
                    <w:spacing w:line="360" w:lineRule="auto"/>
                    <w:rPr>
                      <w:rFonts w:hint="eastAsia" w:ascii="宋体" w:hAnsi="宋体" w:cs="宋体"/>
                      <w:sz w:val="24"/>
                    </w:rPr>
                  </w:pPr>
                  <w:r>
                    <w:rPr>
                      <w:rFonts w:hint="eastAsia" w:ascii="宋体" w:hAnsi="宋体" w:cs="宋体"/>
                      <w:sz w:val="24"/>
                    </w:rPr>
                    <w:t>固废处理达标排放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981" w:type="dxa"/>
                  <w:vMerge w:val="continue"/>
                  <w:noWrap w:val="0"/>
                  <w:vAlign w:val="center"/>
                </w:tcPr>
                <w:p>
                  <w:pPr>
                    <w:tabs>
                      <w:tab w:val="left" w:pos="1800"/>
                    </w:tabs>
                    <w:spacing w:line="360" w:lineRule="auto"/>
                    <w:jc w:val="center"/>
                    <w:rPr>
                      <w:rFonts w:hint="eastAsia" w:ascii="宋体" w:hAnsi="宋体" w:cs="宋体"/>
                      <w:bCs/>
                      <w:color w:val="000000"/>
                      <w:sz w:val="24"/>
                    </w:rPr>
                  </w:pPr>
                </w:p>
              </w:tc>
              <w:tc>
                <w:tcPr>
                  <w:tcW w:w="3499" w:type="dxa"/>
                  <w:noWrap w:val="0"/>
                  <w:vAlign w:val="center"/>
                </w:tcPr>
                <w:p>
                  <w:pPr>
                    <w:tabs>
                      <w:tab w:val="left" w:pos="1800"/>
                    </w:tabs>
                    <w:spacing w:line="360" w:lineRule="auto"/>
                    <w:rPr>
                      <w:rFonts w:ascii="宋体" w:hAnsi="宋体" w:cs="宋体"/>
                      <w:sz w:val="24"/>
                    </w:rPr>
                  </w:pPr>
                  <w:r>
                    <w:rPr>
                      <w:rFonts w:hint="eastAsia" w:ascii="宋体" w:hAnsi="宋体" w:cs="宋体"/>
                      <w:sz w:val="24"/>
                    </w:rPr>
                    <w:t>噪声、废气达标排放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1" w:type="dxa"/>
                  <w:vMerge w:val="continue"/>
                  <w:noWrap w:val="0"/>
                  <w:vAlign w:val="center"/>
                </w:tcPr>
                <w:p>
                  <w:pPr>
                    <w:tabs>
                      <w:tab w:val="left" w:pos="1800"/>
                    </w:tabs>
                    <w:spacing w:line="360" w:lineRule="auto"/>
                    <w:jc w:val="center"/>
                    <w:rPr>
                      <w:rFonts w:hint="eastAsia" w:ascii="宋体" w:hAnsi="宋体" w:cs="宋体"/>
                      <w:b/>
                      <w:bCs/>
                      <w:color w:val="000000"/>
                      <w:sz w:val="24"/>
                    </w:rPr>
                  </w:pPr>
                </w:p>
              </w:tc>
              <w:tc>
                <w:tcPr>
                  <w:tcW w:w="3499" w:type="dxa"/>
                  <w:noWrap w:val="0"/>
                  <w:vAlign w:val="center"/>
                </w:tcPr>
                <w:p>
                  <w:pPr>
                    <w:tabs>
                      <w:tab w:val="left" w:pos="1800"/>
                    </w:tabs>
                    <w:spacing w:line="360" w:lineRule="auto"/>
                    <w:rPr>
                      <w:rFonts w:ascii="宋体" w:hAnsi="宋体" w:cs="宋体"/>
                      <w:sz w:val="24"/>
                    </w:rPr>
                  </w:pPr>
                  <w:r>
                    <w:rPr>
                      <w:rFonts w:hint="eastAsia" w:ascii="宋体" w:hAnsi="宋体" w:cs="宋体"/>
                      <w:sz w:val="24"/>
                    </w:rPr>
                    <w:t>火灾事故发生率为0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981" w:type="dxa"/>
                  <w:vMerge w:val="restart"/>
                  <w:noWrap w:val="0"/>
                  <w:vAlign w:val="center"/>
                </w:tcPr>
                <w:p>
                  <w:pPr>
                    <w:tabs>
                      <w:tab w:val="left" w:pos="1800"/>
                    </w:tabs>
                    <w:spacing w:line="360" w:lineRule="auto"/>
                    <w:rPr>
                      <w:rFonts w:hint="eastAsia" w:ascii="宋体" w:hAnsi="宋体" w:cs="宋体"/>
                      <w:b/>
                      <w:bCs/>
                      <w:color w:val="000000"/>
                      <w:sz w:val="24"/>
                    </w:rPr>
                  </w:pPr>
                  <w:r>
                    <w:rPr>
                      <w:rFonts w:hint="eastAsia" w:ascii="宋体" w:hAnsi="宋体" w:cs="宋体"/>
                      <w:color w:val="000000"/>
                      <w:sz w:val="24"/>
                    </w:rPr>
                    <w:t>职业健康安全</w:t>
                  </w:r>
                  <w:r>
                    <w:rPr>
                      <w:rFonts w:hint="eastAsia" w:ascii="宋体" w:hAnsi="宋体" w:cs="宋体"/>
                      <w:bCs/>
                      <w:color w:val="000000"/>
                      <w:sz w:val="24"/>
                    </w:rPr>
                    <w:t>目标</w:t>
                  </w:r>
                </w:p>
              </w:tc>
              <w:tc>
                <w:tcPr>
                  <w:tcW w:w="3499" w:type="dxa"/>
                  <w:tcBorders>
                    <w:bottom w:val="single" w:color="000000" w:sz="4" w:space="0"/>
                  </w:tcBorders>
                  <w:noWrap w:val="0"/>
                  <w:vAlign w:val="center"/>
                </w:tcPr>
                <w:p>
                  <w:pPr>
                    <w:tabs>
                      <w:tab w:val="left" w:pos="1800"/>
                    </w:tabs>
                    <w:spacing w:line="360" w:lineRule="auto"/>
                    <w:rPr>
                      <w:rFonts w:hint="eastAsia" w:ascii="宋体" w:hAnsi="宋体" w:cs="宋体"/>
                      <w:sz w:val="24"/>
                    </w:rPr>
                  </w:pPr>
                  <w:r>
                    <w:rPr>
                      <w:rFonts w:hint="eastAsia" w:ascii="宋体" w:hAnsi="宋体" w:cs="宋体"/>
                      <w:sz w:val="24"/>
                    </w:rPr>
                    <w:t>重大安全事故为0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981" w:type="dxa"/>
                  <w:vMerge w:val="continue"/>
                  <w:noWrap w:val="0"/>
                  <w:vAlign w:val="center"/>
                </w:tcPr>
                <w:p>
                  <w:pPr>
                    <w:tabs>
                      <w:tab w:val="left" w:pos="1800"/>
                    </w:tabs>
                    <w:spacing w:line="360" w:lineRule="auto"/>
                    <w:rPr>
                      <w:rFonts w:hint="eastAsia" w:ascii="宋体" w:hAnsi="宋体" w:cs="宋体"/>
                      <w:color w:val="000000"/>
                      <w:sz w:val="24"/>
                    </w:rPr>
                  </w:pPr>
                </w:p>
              </w:tc>
              <w:tc>
                <w:tcPr>
                  <w:tcW w:w="3499" w:type="dxa"/>
                  <w:tcBorders>
                    <w:top w:val="single" w:color="000000" w:sz="4" w:space="0"/>
                  </w:tcBorders>
                  <w:noWrap w:val="0"/>
                  <w:vAlign w:val="center"/>
                </w:tcPr>
                <w:p>
                  <w:pPr>
                    <w:tabs>
                      <w:tab w:val="left" w:pos="1800"/>
                    </w:tabs>
                    <w:spacing w:line="360" w:lineRule="auto"/>
                    <w:rPr>
                      <w:rFonts w:ascii="宋体" w:hAnsi="宋体" w:cs="宋体"/>
                      <w:sz w:val="24"/>
                    </w:rPr>
                  </w:pPr>
                  <w:r>
                    <w:rPr>
                      <w:rFonts w:hint="eastAsia" w:ascii="宋体" w:hAnsi="宋体" w:cs="宋体"/>
                      <w:sz w:val="24"/>
                    </w:rPr>
                    <w:t>火灾事故发生率为0</w:t>
                  </w:r>
                </w:p>
              </w:tc>
            </w:tr>
          </w:tbl>
          <w:p>
            <w:pPr>
              <w:spacing w:line="240" w:lineRule="auto"/>
              <w:jc w:val="left"/>
              <w:rPr>
                <w:rFonts w:hint="eastAsia" w:cs="Times New Roman"/>
                <w:sz w:val="21"/>
                <w:szCs w:val="21"/>
                <w:lang w:val="en-US" w:eastAsia="zh-CN"/>
              </w:rPr>
            </w:pPr>
          </w:p>
          <w:p>
            <w:pPr>
              <w:spacing w:line="240" w:lineRule="auto"/>
              <w:jc w:val="left"/>
              <w:rPr>
                <w:rFonts w:hint="eastAsia" w:eastAsia="宋体"/>
                <w:lang w:eastAsia="zh-CN"/>
              </w:rPr>
            </w:pPr>
            <w:r>
              <w:rPr>
                <w:rFonts w:hint="eastAsia" w:cs="Times New Roman"/>
                <w:sz w:val="21"/>
                <w:szCs w:val="21"/>
                <w:lang w:val="en-US" w:eastAsia="zh-CN"/>
              </w:rPr>
              <w:t>——</w:t>
            </w:r>
            <w:r>
              <w:rPr>
                <w:rFonts w:hint="eastAsia" w:ascii="Times New Roman" w:hAnsi="Times New Roman" w:eastAsia="宋体" w:cs="Times New Roman"/>
                <w:sz w:val="21"/>
                <w:szCs w:val="21"/>
              </w:rPr>
              <w:t>目标可测量</w:t>
            </w:r>
            <w:r>
              <w:rPr>
                <w:rFonts w:hint="eastAsia" w:cs="Times New Roman"/>
                <w:sz w:val="21"/>
                <w:szCs w:val="21"/>
                <w:lang w:eastAsia="zh-CN"/>
              </w:rPr>
              <w:t>。</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通过发放文件、会议（每周部门会议，每月公司会议）、培训等方式向员工传达，使得员工理解和应用</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建立管理体系，以实现公司的目标</w:t>
            </w:r>
            <w:r>
              <w:rPr>
                <w:rFonts w:hint="eastAsia" w:ascii="Times New Roman" w:hAnsi="Times New Roman" w:eastAsia="宋体" w:cs="Times New Roman"/>
                <w:sz w:val="21"/>
                <w:szCs w:val="21"/>
                <w:lang w:eastAsia="zh-CN"/>
              </w:rPr>
              <w:t>。</w:t>
            </w:r>
          </w:p>
          <w:p>
            <w:pPr>
              <w:spacing w:line="240"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管理评审中对适宜性进行评审</w:t>
            </w:r>
            <w:r>
              <w:rPr>
                <w:rFonts w:hint="eastAsia" w:ascii="Times New Roman" w:hAnsi="Times New Roman" w:eastAsia="宋体" w:cs="Times New Roman"/>
                <w:sz w:val="21"/>
                <w:szCs w:val="21"/>
                <w:lang w:eastAsia="zh-CN"/>
              </w:rPr>
              <w:t>。</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管理方针、目标</w:t>
            </w:r>
            <w:r>
              <w:rPr>
                <w:rFonts w:hint="eastAsia" w:ascii="Times New Roman" w:hAnsi="Times New Roman" w:eastAsia="宋体" w:cs="Times New Roman"/>
                <w:sz w:val="21"/>
                <w:szCs w:val="21"/>
                <w:lang w:val="en-US" w:eastAsia="zh-CN"/>
              </w:rPr>
              <w:t>及其实现的策划基本有效。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highlight w:val="none"/>
              </w:rPr>
            </w:pPr>
            <w:r>
              <w:rPr>
                <w:rFonts w:hint="eastAsia" w:ascii="宋体" w:hAnsi="宋体"/>
                <w:highlight w:val="none"/>
                <w:lang w:val="en-US" w:eastAsia="zh-CN"/>
              </w:rPr>
              <w:t>资源</w:t>
            </w:r>
          </w:p>
        </w:tc>
        <w:tc>
          <w:tcPr>
            <w:tcW w:w="960" w:type="dxa"/>
          </w:tcPr>
          <w:p>
            <w:pPr>
              <w:spacing w:line="240" w:lineRule="auto"/>
              <w:rPr>
                <w:rFonts w:hint="eastAsia"/>
                <w:highlight w:val="none"/>
                <w:lang w:val="en-US" w:eastAsia="zh-CN"/>
              </w:rPr>
            </w:pPr>
            <w:r>
              <w:rPr>
                <w:rFonts w:hint="eastAsia"/>
                <w:highlight w:val="none"/>
                <w:lang w:val="en-US" w:eastAsia="zh-CN"/>
              </w:rPr>
              <w:t>Q7.1</w:t>
            </w:r>
          </w:p>
          <w:p>
            <w:pPr>
              <w:pStyle w:val="2"/>
              <w:rPr>
                <w:rFonts w:hint="default"/>
                <w:highlight w:val="none"/>
                <w:lang w:val="en-US" w:eastAsia="zh-CN"/>
              </w:rPr>
            </w:pPr>
            <w:r>
              <w:rPr>
                <w:rFonts w:hint="eastAsia"/>
                <w:highlight w:val="none"/>
                <w:lang w:val="en-US" w:eastAsia="zh-CN"/>
              </w:rPr>
              <w:t>ES7.1.1</w:t>
            </w:r>
          </w:p>
          <w:p>
            <w:pPr>
              <w:rPr>
                <w:highlight w:val="none"/>
              </w:rPr>
            </w:pPr>
          </w:p>
        </w:tc>
        <w:tc>
          <w:tcPr>
            <w:tcW w:w="10004" w:type="dxa"/>
          </w:tcPr>
          <w:p>
            <w:pPr>
              <w:rPr>
                <w:rFonts w:hint="eastAsia"/>
                <w:lang w:val="en-US" w:eastAsia="zh-CN"/>
              </w:rPr>
            </w:pPr>
            <w:r>
              <w:rPr>
                <w:rFonts w:hint="eastAsia"/>
                <w:lang w:val="en-US" w:eastAsia="zh-CN"/>
              </w:rPr>
              <w:t>---企业办公场地260平、车间460平；配置有加工中心、车床、脉冲发生器冲油机、焊机等生产设备和卡尺、深度尺、示波器等监视测量设备，以及消防栓、灭火器，分类垃圾箱等环境安全设备；管理人员及关键工序操作工经验丰富，能够提供井控、HSE、焊工证的资格证书，员工接受过QES方面知识的培训；策划有全套QES管理体系文件。——经专业审核员确认，资源满足公司现行业务规模运行需求。</w:t>
            </w:r>
          </w:p>
          <w:p>
            <w:pPr>
              <w:pStyle w:val="2"/>
              <w:spacing w:line="240" w:lineRule="auto"/>
              <w:rPr>
                <w:rFonts w:hint="eastAsia"/>
                <w:sz w:val="21"/>
                <w:szCs w:val="21"/>
                <w:lang w:val="en-US" w:eastAsia="zh-CN"/>
              </w:rPr>
            </w:pPr>
            <w:r>
              <w:rPr>
                <w:rFonts w:hint="eastAsia"/>
                <w:sz w:val="21"/>
                <w:szCs w:val="21"/>
                <w:lang w:val="en-US" w:eastAsia="zh-CN"/>
              </w:rPr>
              <w:t>---查“ES投入清单”：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1"/>
              <w:gridCol w:w="999"/>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2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18"/>
                      <w:szCs w:val="18"/>
                      <w:vertAlign w:val="baseline"/>
                      <w:lang w:val="en-US" w:eastAsia="zh-CN"/>
                    </w:rPr>
                  </w:pPr>
                  <w:r>
                    <w:rPr>
                      <w:rFonts w:hint="eastAsia"/>
                      <w:b/>
                      <w:bCs/>
                      <w:sz w:val="18"/>
                      <w:szCs w:val="18"/>
                      <w:vertAlign w:val="baseline"/>
                      <w:lang w:val="en-US" w:eastAsia="zh-CN"/>
                    </w:rPr>
                    <w:t>投入物品明细</w:t>
                  </w:r>
                </w:p>
              </w:tc>
              <w:tc>
                <w:tcPr>
                  <w:tcW w:w="2388"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投入金额/元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271" w:type="dxa"/>
                  <w:vMerge w:val="continue"/>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18"/>
                      <w:szCs w:val="18"/>
                      <w:vertAlign w:val="baseline"/>
                      <w:lang w:val="en-US" w:eastAsia="zh-CN"/>
                    </w:rPr>
                  </w:pPr>
                </w:p>
              </w:tc>
              <w:tc>
                <w:tcPr>
                  <w:tcW w:w="99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18"/>
                      <w:szCs w:val="18"/>
                      <w:vertAlign w:val="baseline"/>
                      <w:lang w:val="en-US" w:eastAsia="zh-CN"/>
                    </w:rPr>
                  </w:pPr>
                  <w:r>
                    <w:rPr>
                      <w:rFonts w:hint="eastAsia"/>
                      <w:b/>
                      <w:bCs/>
                      <w:sz w:val="18"/>
                      <w:szCs w:val="18"/>
                      <w:vertAlign w:val="baseline"/>
                      <w:lang w:val="en-US" w:eastAsia="zh-CN"/>
                    </w:rPr>
                    <w:t>一季度</w:t>
                  </w:r>
                </w:p>
              </w:tc>
              <w:tc>
                <w:tcPr>
                  <w:tcW w:w="13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18"/>
                      <w:szCs w:val="18"/>
                      <w:vertAlign w:val="baseline"/>
                      <w:lang w:val="en-US" w:eastAsia="zh-CN"/>
                    </w:rPr>
                  </w:pPr>
                  <w:r>
                    <w:rPr>
                      <w:rFonts w:hint="eastAsia"/>
                      <w:b/>
                      <w:bCs/>
                      <w:sz w:val="18"/>
                      <w:szCs w:val="18"/>
                      <w:vertAlign w:val="baseline"/>
                      <w:lang w:val="en-US" w:eastAsia="zh-CN"/>
                    </w:rPr>
                    <w:t>二季度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27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18"/>
                      <w:szCs w:val="18"/>
                      <w:vertAlign w:val="baseline"/>
                      <w:lang w:val="en-US" w:eastAsia="zh-CN"/>
                    </w:rPr>
                  </w:pPr>
                  <w:r>
                    <w:rPr>
                      <w:rFonts w:hint="eastAsia"/>
                      <w:b w:val="0"/>
                      <w:bCs w:val="0"/>
                      <w:sz w:val="18"/>
                      <w:szCs w:val="18"/>
                      <w:vertAlign w:val="baseline"/>
                      <w:lang w:val="en-US" w:eastAsia="zh-CN"/>
                    </w:rPr>
                    <w:t>1.劳保用品（工服、工鞋、手套等）</w:t>
                  </w:r>
                </w:p>
              </w:tc>
              <w:tc>
                <w:tcPr>
                  <w:tcW w:w="99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3000</w:t>
                  </w:r>
                </w:p>
              </w:tc>
              <w:tc>
                <w:tcPr>
                  <w:tcW w:w="13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27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val="0"/>
                      <w:bCs w:val="0"/>
                      <w:sz w:val="18"/>
                      <w:szCs w:val="18"/>
                      <w:vertAlign w:val="baseline"/>
                      <w:lang w:val="en-US" w:eastAsia="zh-CN"/>
                    </w:rPr>
                  </w:pPr>
                  <w:r>
                    <w:rPr>
                      <w:rFonts w:hint="eastAsia"/>
                      <w:b w:val="0"/>
                      <w:bCs w:val="0"/>
                      <w:sz w:val="18"/>
                      <w:szCs w:val="18"/>
                      <w:vertAlign w:val="baseline"/>
                      <w:lang w:val="en-US" w:eastAsia="zh-CN"/>
                    </w:rPr>
                    <w:t>2.消防设施（灭火器、应急照明灯、疏散指示灯、手报按钮等消防器材购置）</w:t>
                  </w:r>
                </w:p>
              </w:tc>
              <w:tc>
                <w:tcPr>
                  <w:tcW w:w="99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600</w:t>
                  </w:r>
                </w:p>
              </w:tc>
              <w:tc>
                <w:tcPr>
                  <w:tcW w:w="13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7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bCs/>
                      <w:sz w:val="18"/>
                      <w:szCs w:val="18"/>
                      <w:vertAlign w:val="baseline"/>
                      <w:lang w:val="en-US" w:eastAsia="zh-CN"/>
                    </w:rPr>
                  </w:pPr>
                  <w:r>
                    <w:rPr>
                      <w:rFonts w:hint="eastAsia"/>
                      <w:b w:val="0"/>
                      <w:bCs w:val="0"/>
                      <w:sz w:val="18"/>
                      <w:szCs w:val="18"/>
                      <w:vertAlign w:val="baseline"/>
                      <w:lang w:val="en-US" w:eastAsia="zh-CN"/>
                    </w:rPr>
                    <w:t>3.疫情防控物品（口罩、洗手液、体温计、酒精等）</w:t>
                  </w:r>
                </w:p>
              </w:tc>
              <w:tc>
                <w:tcPr>
                  <w:tcW w:w="99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400</w:t>
                  </w:r>
                </w:p>
              </w:tc>
              <w:tc>
                <w:tcPr>
                  <w:tcW w:w="1389"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vertAlign w:val="baseline"/>
                      <w:lang w:val="en-US" w:eastAsia="zh-CN"/>
                    </w:rPr>
                  </w:pPr>
                  <w:r>
                    <w:rPr>
                      <w:rFonts w:hint="eastAsia"/>
                      <w:b/>
                      <w:bCs/>
                      <w:sz w:val="18"/>
                      <w:szCs w:val="18"/>
                      <w:vertAlign w:val="baseli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271" w:type="dxa"/>
                </w:tcPr>
                <w:p>
                  <w:pPr>
                    <w:jc w:val="both"/>
                    <w:rPr>
                      <w:rFonts w:hint="default"/>
                      <w:b w:val="0"/>
                      <w:bCs w:val="0"/>
                      <w:sz w:val="18"/>
                      <w:szCs w:val="18"/>
                      <w:vertAlign w:val="baseline"/>
                      <w:lang w:val="en-US" w:eastAsia="zh-CN"/>
                    </w:rPr>
                  </w:pPr>
                  <w:r>
                    <w:rPr>
                      <w:rFonts w:hint="eastAsia"/>
                      <w:b w:val="0"/>
                      <w:bCs w:val="0"/>
                      <w:sz w:val="18"/>
                      <w:szCs w:val="18"/>
                      <w:vertAlign w:val="baseline"/>
                      <w:lang w:val="en-US" w:eastAsia="zh-CN"/>
                    </w:rPr>
                    <w:t>4.废品安置箱（垃圾桶、废液桶、废品箱）</w:t>
                  </w:r>
                </w:p>
              </w:tc>
              <w:tc>
                <w:tcPr>
                  <w:tcW w:w="99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210</w:t>
                  </w:r>
                </w:p>
              </w:tc>
              <w:tc>
                <w:tcPr>
                  <w:tcW w:w="138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271" w:type="dxa"/>
                </w:tcPr>
                <w:p>
                  <w:pPr>
                    <w:jc w:val="both"/>
                    <w:rPr>
                      <w:rFonts w:hint="default"/>
                      <w:b w:val="0"/>
                      <w:bCs w:val="0"/>
                      <w:sz w:val="18"/>
                      <w:szCs w:val="18"/>
                      <w:vertAlign w:val="baseline"/>
                      <w:lang w:val="en-US" w:eastAsia="zh-CN"/>
                    </w:rPr>
                  </w:pPr>
                  <w:r>
                    <w:rPr>
                      <w:rFonts w:hint="eastAsia"/>
                      <w:b w:val="0"/>
                      <w:bCs w:val="0"/>
                      <w:sz w:val="18"/>
                      <w:szCs w:val="18"/>
                      <w:vertAlign w:val="baseline"/>
                      <w:lang w:val="en-US" w:eastAsia="zh-CN"/>
                    </w:rPr>
                    <w:t>5.警示标志牌、宣传板制作等</w:t>
                  </w:r>
                </w:p>
              </w:tc>
              <w:tc>
                <w:tcPr>
                  <w:tcW w:w="99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460</w:t>
                  </w:r>
                </w:p>
              </w:tc>
              <w:tc>
                <w:tcPr>
                  <w:tcW w:w="138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271" w:type="dxa"/>
                </w:tcPr>
                <w:p>
                  <w:pPr>
                    <w:jc w:val="both"/>
                    <w:rPr>
                      <w:rFonts w:hint="default"/>
                      <w:b w:val="0"/>
                      <w:bCs w:val="0"/>
                      <w:sz w:val="18"/>
                      <w:szCs w:val="18"/>
                      <w:vertAlign w:val="baseline"/>
                      <w:lang w:val="en-US" w:eastAsia="zh-CN"/>
                    </w:rPr>
                  </w:pPr>
                  <w:r>
                    <w:rPr>
                      <w:rFonts w:hint="eastAsia"/>
                      <w:b w:val="0"/>
                      <w:bCs w:val="0"/>
                      <w:sz w:val="18"/>
                      <w:szCs w:val="18"/>
                      <w:vertAlign w:val="baseline"/>
                      <w:lang w:val="en-US" w:eastAsia="zh-CN"/>
                    </w:rPr>
                    <w:t>6.办公、生活场所设施（厂区办公室、食堂、饮水、休息场所等）的制作、购置、改造、维护等</w:t>
                  </w:r>
                </w:p>
              </w:tc>
              <w:tc>
                <w:tcPr>
                  <w:tcW w:w="99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2840</w:t>
                  </w:r>
                </w:p>
              </w:tc>
              <w:tc>
                <w:tcPr>
                  <w:tcW w:w="138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271" w:type="dxa"/>
                </w:tcPr>
                <w:p>
                  <w:pPr>
                    <w:jc w:val="both"/>
                    <w:rPr>
                      <w:rFonts w:hint="default"/>
                      <w:b w:val="0"/>
                      <w:bCs w:val="0"/>
                      <w:sz w:val="18"/>
                      <w:szCs w:val="18"/>
                      <w:vertAlign w:val="baseline"/>
                      <w:lang w:val="en-US" w:eastAsia="zh-CN"/>
                    </w:rPr>
                  </w:pPr>
                  <w:r>
                    <w:rPr>
                      <w:rFonts w:hint="eastAsia"/>
                      <w:b w:val="0"/>
                      <w:bCs w:val="0"/>
                      <w:sz w:val="18"/>
                      <w:szCs w:val="18"/>
                      <w:vertAlign w:val="baseline"/>
                      <w:lang w:val="en-US" w:eastAsia="zh-CN"/>
                    </w:rPr>
                    <w:t>7.配电箱、电线电缆等防护设施</w:t>
                  </w:r>
                </w:p>
              </w:tc>
              <w:tc>
                <w:tcPr>
                  <w:tcW w:w="99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3260</w:t>
                  </w:r>
                </w:p>
              </w:tc>
              <w:tc>
                <w:tcPr>
                  <w:tcW w:w="1389" w:type="dxa"/>
                </w:tcPr>
                <w:p>
                  <w:pPr>
                    <w:jc w:val="center"/>
                    <w:rPr>
                      <w:rFonts w:hint="default"/>
                      <w:b/>
                      <w:bCs/>
                      <w:sz w:val="18"/>
                      <w:szCs w:val="18"/>
                      <w:vertAlign w:val="baseline"/>
                      <w:lang w:val="en-US" w:eastAsia="zh-CN"/>
                    </w:rPr>
                  </w:pPr>
                  <w:r>
                    <w:rPr>
                      <w:rFonts w:hint="eastAsia"/>
                      <w:b/>
                      <w:bCs/>
                      <w:sz w:val="18"/>
                      <w:szCs w:val="18"/>
                      <w:vertAlign w:val="baseline"/>
                      <w:lang w:val="en-US" w:eastAsia="zh-CN"/>
                    </w:rPr>
                    <w:t>0</w:t>
                  </w:r>
                </w:p>
              </w:tc>
            </w:tr>
          </w:tbl>
          <w:p>
            <w:pPr>
              <w:pStyle w:val="2"/>
              <w:rPr>
                <w:rFonts w:hint="default"/>
                <w:lang w:val="en-US" w:eastAsia="zh-CN"/>
              </w:rPr>
            </w:pP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highlight w:val="yellow"/>
                <w:lang w:val="en-US" w:eastAsia="zh-CN"/>
              </w:rPr>
            </w:pPr>
            <w:r>
              <w:rPr>
                <w:rFonts w:hint="eastAsia" w:ascii="宋体" w:hAnsi="宋体"/>
                <w:lang w:val="en-US" w:eastAsia="zh-CN"/>
              </w:rPr>
              <w:t>管理评审的策划及实施情况</w:t>
            </w:r>
          </w:p>
        </w:tc>
        <w:tc>
          <w:tcPr>
            <w:tcW w:w="960" w:type="dxa"/>
          </w:tcPr>
          <w:p>
            <w:pPr>
              <w:rPr>
                <w:highlight w:val="yellow"/>
              </w:rPr>
            </w:pPr>
            <w:r>
              <w:rPr>
                <w:rFonts w:hint="eastAsia"/>
                <w:lang w:val="en-US" w:eastAsia="zh-CN"/>
              </w:rPr>
              <w:t>QES9.3</w:t>
            </w:r>
          </w:p>
        </w:tc>
        <w:tc>
          <w:tcPr>
            <w:tcW w:w="10004" w:type="dxa"/>
          </w:tcPr>
          <w:p>
            <w:pPr>
              <w:spacing w:line="240" w:lineRule="auto"/>
              <w:jc w:val="left"/>
              <w:rPr>
                <w:rFonts w:hint="eastAsia"/>
                <w:lang w:val="en-US" w:eastAsia="zh-CN"/>
              </w:rPr>
            </w:pPr>
            <w:r>
              <w:rPr>
                <w:rFonts w:hint="eastAsia"/>
                <w:lang w:val="en-US" w:eastAsia="zh-CN"/>
              </w:rPr>
              <w:t>---查公司策划了：管理评审程序。</w:t>
            </w:r>
          </w:p>
          <w:p>
            <w:pPr>
              <w:spacing w:line="240" w:lineRule="auto"/>
              <w:jc w:val="left"/>
              <w:rPr>
                <w:rFonts w:hint="eastAsia"/>
                <w:lang w:val="en-US" w:eastAsia="zh-CN"/>
              </w:rPr>
            </w:pPr>
            <w:r>
              <w:rPr>
                <w:rFonts w:hint="eastAsia"/>
                <w:lang w:val="en-US" w:eastAsia="zh-CN"/>
              </w:rPr>
              <w:t>---管理评审的实施情况：建立管理体系至今进行管评一次，提供了相应的记录，如下：</w:t>
            </w:r>
          </w:p>
          <w:p>
            <w:pPr>
              <w:spacing w:line="240" w:lineRule="auto"/>
              <w:jc w:val="left"/>
              <w:rPr>
                <w:rFonts w:hint="default" w:ascii="Times New Roman" w:hAnsi="Times New Roman" w:eastAsia="宋体" w:cs="Times New Roman"/>
                <w:sz w:val="21"/>
                <w:szCs w:val="21"/>
                <w:lang w:val="en-US" w:eastAsia="zh-CN"/>
              </w:rPr>
            </w:pPr>
            <w:r>
              <w:rPr>
                <w:rFonts w:hint="default"/>
                <w:lang w:val="en-US" w:eastAsia="zh-CN"/>
              </w:rPr>
              <w:t>公司在</w:t>
            </w:r>
            <w:r>
              <w:rPr>
                <w:rFonts w:hint="eastAsia"/>
                <w:lang w:val="en-US" w:eastAsia="zh-CN"/>
              </w:rPr>
              <w:t>2022.2.20计划，</w:t>
            </w:r>
            <w:r>
              <w:rPr>
                <w:rFonts w:hint="default"/>
                <w:lang w:val="en-US" w:eastAsia="zh-CN"/>
              </w:rPr>
              <w:t>202</w:t>
            </w:r>
            <w:r>
              <w:rPr>
                <w:rFonts w:hint="eastAsia"/>
                <w:lang w:val="en-US" w:eastAsia="zh-CN"/>
              </w:rPr>
              <w:t>2.2.25.实施</w:t>
            </w:r>
            <w:r>
              <w:rPr>
                <w:rFonts w:hint="default"/>
                <w:lang w:val="en-US" w:eastAsia="zh-CN"/>
              </w:rPr>
              <w:t>了管理评审活动，所有职能部门参与，提供</w:t>
            </w:r>
            <w:r>
              <w:rPr>
                <w:rFonts w:hint="default"/>
                <w:highlight w:val="none"/>
                <w:lang w:val="en-US" w:eastAsia="zh-CN"/>
              </w:rPr>
              <w:t>了手写的签到表；</w:t>
            </w:r>
            <w:r>
              <w:rPr>
                <w:rFonts w:hint="default"/>
                <w:lang w:val="en-US" w:eastAsia="zh-CN"/>
              </w:rPr>
              <w:t>主要的输</w:t>
            </w:r>
            <w:r>
              <w:rPr>
                <w:rFonts w:hint="default" w:ascii="Times New Roman" w:hAnsi="Times New Roman" w:eastAsia="宋体" w:cs="Times New Roman"/>
                <w:sz w:val="21"/>
                <w:szCs w:val="21"/>
                <w:lang w:val="en-US" w:eastAsia="zh-CN"/>
              </w:rPr>
              <w:t>入：</w:t>
            </w:r>
          </w:p>
          <w:p>
            <w:pPr>
              <w:pStyle w:val="2"/>
              <w:rPr>
                <w:rFonts w:hint="default"/>
                <w:lang w:val="en-US" w:eastAsia="zh-CN"/>
              </w:rPr>
            </w:pPr>
            <w:r>
              <w:rPr>
                <w:rFonts w:hint="default"/>
                <w:lang w:val="en-US" w:eastAsia="zh-CN"/>
              </w:rPr>
              <w:t xml:space="preserve">1、以往管理评审所采取措施的实施情况； </w:t>
            </w:r>
          </w:p>
          <w:p>
            <w:pPr>
              <w:pStyle w:val="2"/>
              <w:rPr>
                <w:rFonts w:hint="default"/>
                <w:lang w:val="en-US" w:eastAsia="zh-CN"/>
              </w:rPr>
            </w:pPr>
            <w:r>
              <w:rPr>
                <w:rFonts w:hint="default"/>
                <w:lang w:val="en-US" w:eastAsia="zh-CN"/>
              </w:rPr>
              <w:t>2、以下方面的变化：</w:t>
            </w:r>
          </w:p>
          <w:p>
            <w:pPr>
              <w:pStyle w:val="2"/>
              <w:rPr>
                <w:rFonts w:hint="default"/>
                <w:lang w:val="en-US" w:eastAsia="zh-CN"/>
              </w:rPr>
            </w:pPr>
            <w:r>
              <w:rPr>
                <w:rFonts w:hint="default"/>
                <w:lang w:val="en-US" w:eastAsia="zh-CN"/>
              </w:rPr>
              <w:t>1）与质量、环境、职业健康安全管理体系相关的内外部因素和问题的变化；</w:t>
            </w:r>
          </w:p>
          <w:p>
            <w:pPr>
              <w:pStyle w:val="2"/>
              <w:rPr>
                <w:rFonts w:hint="default"/>
                <w:lang w:val="en-US" w:eastAsia="zh-CN"/>
              </w:rPr>
            </w:pPr>
            <w:r>
              <w:rPr>
                <w:rFonts w:hint="default"/>
                <w:lang w:val="en-US" w:eastAsia="zh-CN"/>
              </w:rPr>
              <w:t>2）相关方的需求和期望，包括合规义务；</w:t>
            </w:r>
          </w:p>
          <w:p>
            <w:pPr>
              <w:pStyle w:val="2"/>
              <w:rPr>
                <w:rFonts w:hint="default"/>
                <w:lang w:val="en-US" w:eastAsia="zh-CN"/>
              </w:rPr>
            </w:pPr>
            <w:r>
              <w:rPr>
                <w:rFonts w:hint="default"/>
                <w:lang w:val="en-US" w:eastAsia="zh-CN"/>
              </w:rPr>
              <w:t>3）其重要环境因素、不可接受风险；</w:t>
            </w:r>
          </w:p>
          <w:p>
            <w:pPr>
              <w:pStyle w:val="2"/>
              <w:rPr>
                <w:rFonts w:hint="default"/>
                <w:lang w:val="en-US" w:eastAsia="zh-CN"/>
              </w:rPr>
            </w:pPr>
            <w:r>
              <w:rPr>
                <w:rFonts w:hint="default"/>
                <w:lang w:val="en-US" w:eastAsia="zh-CN"/>
              </w:rPr>
              <w:t>4）风险和机遇。</w:t>
            </w:r>
          </w:p>
          <w:p>
            <w:pPr>
              <w:pStyle w:val="2"/>
              <w:rPr>
                <w:rFonts w:hint="default"/>
                <w:lang w:val="en-US" w:eastAsia="zh-CN"/>
              </w:rPr>
            </w:pPr>
            <w:r>
              <w:rPr>
                <w:rFonts w:hint="default"/>
                <w:lang w:val="en-US" w:eastAsia="zh-CN"/>
              </w:rPr>
              <w:t>5）客观环境的变化，包括与质量、环境、职业健康安全管理体系相关的法律法规和其他要求的发展。</w:t>
            </w:r>
          </w:p>
          <w:p>
            <w:pPr>
              <w:pStyle w:val="2"/>
              <w:rPr>
                <w:rFonts w:hint="default"/>
                <w:lang w:val="en-US" w:eastAsia="zh-CN"/>
              </w:rPr>
            </w:pPr>
            <w:r>
              <w:rPr>
                <w:rFonts w:hint="default"/>
                <w:lang w:val="en-US" w:eastAsia="zh-CN"/>
              </w:rPr>
              <w:t xml:space="preserve">3、有关质量、环境、职业健康安全管理体系绩效和有效性的信息，包括下列趋势性信息： </w:t>
            </w:r>
          </w:p>
          <w:p>
            <w:pPr>
              <w:pStyle w:val="2"/>
              <w:rPr>
                <w:rFonts w:hint="default"/>
                <w:lang w:val="en-US" w:eastAsia="zh-CN"/>
              </w:rPr>
            </w:pPr>
            <w:r>
              <w:rPr>
                <w:rFonts w:hint="default"/>
                <w:lang w:val="en-US" w:eastAsia="zh-CN"/>
              </w:rPr>
              <w:t xml:space="preserve">1）顾客满意和相关方的反馈； </w:t>
            </w:r>
          </w:p>
          <w:p>
            <w:pPr>
              <w:pStyle w:val="2"/>
              <w:rPr>
                <w:rFonts w:hint="default"/>
                <w:lang w:val="en-US" w:eastAsia="zh-CN"/>
              </w:rPr>
            </w:pPr>
            <w:r>
              <w:rPr>
                <w:rFonts w:hint="default"/>
                <w:lang w:val="en-US" w:eastAsia="zh-CN"/>
              </w:rPr>
              <w:t xml:space="preserve">2）管理目标的实现程度； </w:t>
            </w:r>
          </w:p>
          <w:p>
            <w:pPr>
              <w:pStyle w:val="2"/>
              <w:rPr>
                <w:rFonts w:hint="default"/>
                <w:lang w:val="en-US" w:eastAsia="zh-CN"/>
              </w:rPr>
            </w:pPr>
            <w:r>
              <w:rPr>
                <w:rFonts w:hint="default"/>
                <w:lang w:val="en-US" w:eastAsia="zh-CN"/>
              </w:rPr>
              <w:t xml:space="preserve">3）过程绩效以及产品和服务的符合性； </w:t>
            </w:r>
          </w:p>
          <w:p>
            <w:pPr>
              <w:pStyle w:val="2"/>
              <w:rPr>
                <w:rFonts w:hint="default"/>
                <w:lang w:val="en-US" w:eastAsia="zh-CN"/>
              </w:rPr>
            </w:pPr>
            <w:r>
              <w:rPr>
                <w:rFonts w:hint="default"/>
                <w:lang w:val="en-US" w:eastAsia="zh-CN"/>
              </w:rPr>
              <w:t xml:space="preserve">4）事件调查、不合格、纠正措施及其合规性义务履行情况； </w:t>
            </w:r>
          </w:p>
          <w:p>
            <w:pPr>
              <w:pStyle w:val="2"/>
              <w:rPr>
                <w:rFonts w:hint="default"/>
                <w:lang w:val="en-US" w:eastAsia="zh-CN"/>
              </w:rPr>
            </w:pPr>
            <w:r>
              <w:rPr>
                <w:rFonts w:hint="default"/>
                <w:lang w:val="en-US" w:eastAsia="zh-CN"/>
              </w:rPr>
              <w:t xml:space="preserve">5）监视和测量结果及审核结果； </w:t>
            </w:r>
          </w:p>
          <w:p>
            <w:pPr>
              <w:pStyle w:val="2"/>
              <w:rPr>
                <w:rFonts w:hint="default"/>
                <w:lang w:val="en-US" w:eastAsia="zh-CN"/>
              </w:rPr>
            </w:pPr>
            <w:r>
              <w:rPr>
                <w:rFonts w:hint="default"/>
                <w:lang w:val="en-US" w:eastAsia="zh-CN"/>
              </w:rPr>
              <w:t xml:space="preserve">6）外部供方的绩效。 </w:t>
            </w:r>
          </w:p>
          <w:p>
            <w:pPr>
              <w:pStyle w:val="2"/>
              <w:rPr>
                <w:rFonts w:hint="default"/>
                <w:lang w:val="en-US" w:eastAsia="zh-CN"/>
              </w:rPr>
            </w:pPr>
            <w:r>
              <w:rPr>
                <w:rFonts w:hint="default"/>
                <w:lang w:val="en-US" w:eastAsia="zh-CN"/>
              </w:rPr>
              <w:t>7）参与和协商的结果；</w:t>
            </w:r>
          </w:p>
          <w:p>
            <w:pPr>
              <w:pStyle w:val="2"/>
              <w:rPr>
                <w:rFonts w:hint="default"/>
                <w:lang w:val="en-US" w:eastAsia="zh-CN"/>
              </w:rPr>
            </w:pPr>
            <w:r>
              <w:rPr>
                <w:rFonts w:hint="default"/>
                <w:lang w:val="en-US" w:eastAsia="zh-CN"/>
              </w:rPr>
              <w:t>8）来自相关方的有关信息交流，包括抱怨、投诉。</w:t>
            </w:r>
          </w:p>
          <w:p>
            <w:pPr>
              <w:pStyle w:val="2"/>
              <w:rPr>
                <w:rFonts w:hint="default"/>
                <w:lang w:val="en-US" w:eastAsia="zh-CN"/>
              </w:rPr>
            </w:pPr>
            <w:r>
              <w:rPr>
                <w:rFonts w:hint="default"/>
                <w:lang w:val="en-US" w:eastAsia="zh-CN"/>
              </w:rPr>
              <w:t xml:space="preserve">d）资源的充分性； </w:t>
            </w:r>
          </w:p>
          <w:p>
            <w:pPr>
              <w:pStyle w:val="2"/>
              <w:rPr>
                <w:rFonts w:hint="default"/>
                <w:lang w:val="en-US" w:eastAsia="zh-CN"/>
              </w:rPr>
            </w:pPr>
            <w:r>
              <w:rPr>
                <w:rFonts w:hint="default"/>
                <w:lang w:val="en-US" w:eastAsia="zh-CN"/>
              </w:rPr>
              <w:t>e）应对风险和机遇所采取措施的有效性（见6.1）；</w:t>
            </w:r>
          </w:p>
          <w:p>
            <w:pPr>
              <w:pStyle w:val="2"/>
              <w:rPr>
                <w:rFonts w:hint="default"/>
                <w:lang w:val="en-US" w:eastAsia="zh-CN"/>
              </w:rPr>
            </w:pPr>
            <w:r>
              <w:rPr>
                <w:rFonts w:hint="default"/>
                <w:lang w:val="en-US" w:eastAsia="zh-CN"/>
              </w:rPr>
              <w:t xml:space="preserve">f）改进的机会。 </w:t>
            </w:r>
          </w:p>
          <w:p>
            <w:pPr>
              <w:pStyle w:val="2"/>
              <w:rPr>
                <w:rFonts w:hint="default"/>
                <w:lang w:val="en-US" w:eastAsia="zh-CN"/>
              </w:rPr>
            </w:pPr>
            <w:r>
              <w:rPr>
                <w:rFonts w:hint="default"/>
                <w:lang w:val="en-US" w:eastAsia="zh-CN"/>
              </w:rPr>
              <w:t>评审结论：</w:t>
            </w:r>
          </w:p>
          <w:p>
            <w:pPr>
              <w:pStyle w:val="2"/>
              <w:rPr>
                <w:rFonts w:hint="default"/>
                <w:lang w:val="en-US" w:eastAsia="zh-CN"/>
              </w:rPr>
            </w:pPr>
            <w:r>
              <w:rPr>
                <w:rFonts w:hint="default"/>
                <w:lang w:val="en-US" w:eastAsia="zh-CN"/>
              </w:rPr>
              <w:t>公司已按照GB/T19001-2016、GB/T24001-2016、GB/T45001-2020标准建立了符合本公司实际的管理体系，体系是持续适宜的、充分的和有效的。基本能够得到实施和保持。方针、目标和指标是适应的，正在通过体系的运行不断实现。</w:t>
            </w:r>
          </w:p>
          <w:p>
            <w:pPr>
              <w:pStyle w:val="2"/>
              <w:rPr>
                <w:rFonts w:hint="default"/>
                <w:lang w:val="en-US" w:eastAsia="zh-CN"/>
              </w:rPr>
            </w:pPr>
            <w:r>
              <w:rPr>
                <w:rFonts w:hint="default"/>
                <w:lang w:val="en-US" w:eastAsia="zh-CN"/>
              </w:rPr>
              <w:t>通过本次管理评审，确保了质量、环境和职业健康安全方针、目标和管理体系持续的适宜性、充分性和有效性及ROHS产品的保证性，达到了持续改进的目的，为下一步外审工作奠定了良好的基础。</w:t>
            </w:r>
          </w:p>
          <w:p>
            <w:pPr>
              <w:pStyle w:val="2"/>
              <w:rPr>
                <w:rFonts w:hint="default"/>
                <w:lang w:val="en-US" w:eastAsia="zh-CN"/>
              </w:rPr>
            </w:pPr>
            <w:r>
              <w:rPr>
                <w:rFonts w:hint="default"/>
                <w:lang w:val="en-US" w:eastAsia="zh-CN"/>
              </w:rPr>
              <w:t>改进、纠正和预防措施摘要及责任部门：</w:t>
            </w:r>
          </w:p>
          <w:p>
            <w:pPr>
              <w:pStyle w:val="2"/>
              <w:rPr>
                <w:rFonts w:hint="default"/>
                <w:lang w:val="en-US" w:eastAsia="zh-CN"/>
              </w:rPr>
            </w:pPr>
            <w:r>
              <w:rPr>
                <w:rFonts w:hint="default"/>
                <w:lang w:val="en-US" w:eastAsia="zh-CN"/>
              </w:rPr>
              <w:t>1.为解决监管力度不够的情况，要求综合部今后每季度至少组织一次对体系运行情况的监督检查；</w:t>
            </w:r>
          </w:p>
          <w:p>
            <w:pPr>
              <w:pStyle w:val="2"/>
              <w:rPr>
                <w:rFonts w:hint="default"/>
                <w:lang w:val="en-US" w:eastAsia="zh-CN"/>
              </w:rPr>
            </w:pPr>
            <w:r>
              <w:rPr>
                <w:rFonts w:hint="default"/>
                <w:lang w:val="en-US" w:eastAsia="zh-CN"/>
              </w:rPr>
              <w:t>2.综合部继续抓好对员工的质量、环境、职业健康安全意识教育。</w:t>
            </w:r>
          </w:p>
          <w:p>
            <w:pPr>
              <w:pStyle w:val="2"/>
              <w:rPr>
                <w:rFonts w:hint="default"/>
                <w:lang w:val="en-US" w:eastAsia="zh-CN"/>
              </w:rPr>
            </w:pPr>
            <w:r>
              <w:rPr>
                <w:rFonts w:hint="eastAsia"/>
                <w:lang w:val="en-US" w:eastAsia="zh-CN"/>
              </w:rPr>
              <w:t>---管评已发放相关职能部门。</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符合。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宋体" w:hAnsi="宋体"/>
                <w:lang w:val="en-US" w:eastAsia="zh-CN"/>
              </w:rPr>
            </w:pPr>
            <w:r>
              <w:rPr>
                <w:rFonts w:hint="eastAsia"/>
                <w:sz w:val="21"/>
                <w:szCs w:val="21"/>
              </w:rPr>
              <w:t>改进机制的建立</w:t>
            </w:r>
          </w:p>
        </w:tc>
        <w:tc>
          <w:tcPr>
            <w:tcW w:w="960" w:type="dxa"/>
          </w:tcPr>
          <w:p>
            <w:pPr>
              <w:rPr>
                <w:rFonts w:hint="eastAsia"/>
                <w:lang w:val="en-US" w:eastAsia="zh-CN"/>
              </w:rPr>
            </w:pPr>
            <w:r>
              <w:rPr>
                <w:rFonts w:hint="eastAsia"/>
                <w:lang w:val="en-US" w:eastAsia="zh-CN"/>
              </w:rPr>
              <w:t>QES10.1/10.3</w:t>
            </w:r>
          </w:p>
        </w:tc>
        <w:tc>
          <w:tcPr>
            <w:tcW w:w="10004" w:type="dxa"/>
          </w:tcPr>
          <w:p>
            <w:pPr>
              <w:spacing w:line="240" w:lineRule="auto"/>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---策划了下列成文信息：</w:t>
            </w:r>
          </w:p>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内部审核控制程序</w:t>
            </w:r>
          </w:p>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管理评审控制程序</w:t>
            </w:r>
          </w:p>
          <w:p>
            <w:pPr>
              <w:spacing w:line="240" w:lineRule="auto"/>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不合格输出控制程序</w:t>
            </w:r>
          </w:p>
          <w:p>
            <w:pPr>
              <w:spacing w:line="240" w:lineRule="auto"/>
              <w:jc w:val="left"/>
              <w:rPr>
                <w:rFonts w:hint="eastAsia" w:ascii="宋体" w:hAnsi="宋体"/>
              </w:rPr>
            </w:pPr>
            <w:r>
              <w:rPr>
                <w:rFonts w:hint="eastAsia" w:ascii="宋体" w:hAnsi="宋体"/>
              </w:rPr>
              <w:t>不合格和纠正措施控制程序</w:t>
            </w:r>
          </w:p>
          <w:p>
            <w:pPr>
              <w:spacing w:line="240" w:lineRule="auto"/>
              <w:jc w:val="left"/>
              <w:rPr>
                <w:rFonts w:hint="eastAsia" w:ascii="宋体" w:hAnsi="宋体"/>
              </w:rPr>
            </w:pPr>
            <w:r>
              <w:rPr>
                <w:rFonts w:hint="eastAsia" w:ascii="宋体" w:hAnsi="宋体"/>
              </w:rPr>
              <w:t>事件调查和处理控制程序</w:t>
            </w:r>
          </w:p>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合规性评价管理程序</w:t>
            </w:r>
          </w:p>
          <w:p>
            <w:pPr>
              <w:spacing w:line="240" w:lineRule="auto"/>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---实施：</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1、在公司及部门层面全面实施目标考核机制，针对周期性目标考核结果进行改进实施。</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2、针对潜在的紧急情况造成的环境和职业健康安全风险，组织制定了有效的应急预案，并适时安排演练验证，以确定其适宜性和有效性，提升全员应急反应能力。</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3、针对年度内审发现的不符合项实施了原因分析制定纠正措施并跟踪整改验证；针对年度管理评审和公司重大会议等活动信息进行综合分析评价，形成必要的改进决策。</w:t>
            </w:r>
          </w:p>
          <w:p>
            <w:pPr>
              <w:spacing w:line="240" w:lineRule="auto"/>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4、在日常业务运行中，组织各部门收集、统计贯标记录及QMS/EMS/OHSMS相关记录信息，运用统计技术进行数据分析，寻找改进机会。</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——上述这些均在相应的过程审核中提供有实施证据，证实了该组织改进机制的建设基本有效。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sz w:val="21"/>
                <w:szCs w:val="21"/>
              </w:rPr>
            </w:pPr>
            <w:r>
              <w:rPr>
                <w:rFonts w:hint="eastAsia" w:ascii="宋体" w:hAnsi="宋体"/>
              </w:rPr>
              <w:t>产品质量状况(包括质量/环境/安全事故、顾客投诉、监督部门抽查/监测等</w:t>
            </w:r>
          </w:p>
        </w:tc>
        <w:tc>
          <w:tcPr>
            <w:tcW w:w="960" w:type="dxa"/>
          </w:tcPr>
          <w:p>
            <w:pPr>
              <w:rPr>
                <w:rFonts w:hint="eastAsia"/>
                <w:lang w:val="en-US" w:eastAsia="zh-CN"/>
              </w:rPr>
            </w:pPr>
          </w:p>
        </w:tc>
        <w:tc>
          <w:tcPr>
            <w:tcW w:w="10004" w:type="dxa"/>
          </w:tcPr>
          <w:p>
            <w:pPr>
              <w:pStyle w:val="14"/>
              <w:rPr>
                <w:rFonts w:hint="eastAsia"/>
              </w:rPr>
            </w:pPr>
            <w:r>
              <w:rPr>
                <w:rFonts w:hint="eastAsia"/>
              </w:rPr>
              <w:t>公司领导介绍，公司在年度</w:t>
            </w:r>
            <w:r>
              <w:rPr>
                <w:rFonts w:hint="eastAsia"/>
                <w:lang w:val="en-US" w:eastAsia="zh-CN"/>
              </w:rPr>
              <w:t>顾客</w:t>
            </w:r>
            <w:r>
              <w:rPr>
                <w:rFonts w:hint="eastAsia"/>
              </w:rPr>
              <w:t>满意程度调查中，得分较高。同时，至今无重大投诉、媒体曝光、人员伤亡及重大事故（质量/职业健康安全/环境事故）发生。</w:t>
            </w:r>
          </w:p>
          <w:p>
            <w:pPr>
              <w:pStyle w:val="14"/>
              <w:rPr>
                <w:rFonts w:hint="eastAsia"/>
                <w:lang w:val="en-US" w:eastAsia="zh-CN"/>
              </w:rPr>
            </w:pPr>
            <w:r>
              <w:rPr>
                <w:rFonts w:hint="eastAsia"/>
                <w:lang w:val="en-US" w:eastAsia="zh-CN"/>
              </w:rPr>
              <w:t>通过信用中国等公开渠道查询，未发现行政处罚及异常经营信息。</w:t>
            </w:r>
          </w:p>
          <w:p>
            <w:pPr>
              <w:pStyle w:val="14"/>
              <w:rPr>
                <w:rFonts w:hint="eastAsia"/>
                <w:lang w:val="en-US" w:eastAsia="zh-CN"/>
              </w:rPr>
            </w:pPr>
            <w:r>
              <w:rPr>
                <w:rFonts w:hint="eastAsia"/>
                <w:lang w:val="en-US" w:eastAsia="zh-CN"/>
              </w:rPr>
              <w:t>复查营业执照范围及期限，完全覆盖本次审核范围。</w:t>
            </w:r>
          </w:p>
          <w:p>
            <w:pPr>
              <w:rPr>
                <w:rFonts w:hint="eastAsia" w:ascii="Times New Roman" w:hAnsi="Times New Roman" w:eastAsia="宋体" w:cs="Times New Roman"/>
                <w:sz w:val="21"/>
                <w:szCs w:val="21"/>
                <w:lang w:val="en-US" w:eastAsia="zh-CN"/>
              </w:rPr>
            </w:pPr>
            <w:r>
              <w:rPr>
                <w:rFonts w:hint="eastAsia"/>
                <w:lang w:val="en-US" w:eastAsia="zh-CN"/>
              </w:rPr>
              <w:t>经核实，企业无需特定许可经营资质。</w:t>
            </w:r>
          </w:p>
        </w:tc>
        <w:tc>
          <w:tcPr>
            <w:tcW w:w="1585" w:type="dxa"/>
          </w:tcPr>
          <w:p/>
        </w:tc>
      </w:tr>
    </w:tbl>
    <w:p/>
    <w:tbl>
      <w:tblPr>
        <w:tblStyle w:val="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243"/>
        <w:gridCol w:w="11068"/>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33" w:type="pct"/>
            <w:vMerge w:val="restart"/>
            <w:vAlign w:val="center"/>
          </w:tcPr>
          <w:p>
            <w:pPr>
              <w:spacing w:before="120" w:line="240" w:lineRule="auto"/>
              <w:jc w:val="center"/>
              <w:rPr>
                <w:sz w:val="32"/>
                <w:szCs w:val="32"/>
              </w:rPr>
            </w:pPr>
            <w:r>
              <w:rPr>
                <w:rFonts w:hint="eastAsia"/>
                <w:sz w:val="32"/>
                <w:szCs w:val="32"/>
              </w:rPr>
              <w:t>过程与活动、</w:t>
            </w:r>
          </w:p>
          <w:p>
            <w:pPr>
              <w:spacing w:line="240" w:lineRule="auto"/>
              <w:jc w:val="center"/>
              <w:rPr>
                <w:rFonts w:hint="eastAsia" w:ascii="Times New Roman" w:hAnsi="Times New Roman" w:eastAsia="宋体" w:cs="Times New Roman"/>
                <w:kern w:val="2"/>
                <w:sz w:val="32"/>
                <w:szCs w:val="32"/>
                <w:lang w:val="en-US" w:eastAsia="zh-CN" w:bidi="ar-SA"/>
              </w:rPr>
            </w:pPr>
            <w:r>
              <w:rPr>
                <w:rFonts w:hint="eastAsia"/>
                <w:sz w:val="32"/>
                <w:szCs w:val="32"/>
              </w:rPr>
              <w:t>抽样计划</w:t>
            </w:r>
          </w:p>
        </w:tc>
        <w:tc>
          <w:tcPr>
            <w:tcW w:w="326" w:type="pct"/>
            <w:vMerge w:val="restart"/>
            <w:vAlign w:val="center"/>
          </w:tcPr>
          <w:p>
            <w:pPr>
              <w:spacing w:line="240" w:lineRule="auto"/>
              <w:rPr>
                <w:sz w:val="32"/>
                <w:szCs w:val="32"/>
              </w:rPr>
            </w:pPr>
            <w:r>
              <w:rPr>
                <w:rFonts w:hint="eastAsia"/>
                <w:sz w:val="32"/>
                <w:szCs w:val="32"/>
              </w:rPr>
              <w:t>涉及</w:t>
            </w:r>
          </w:p>
          <w:p>
            <w:pPr>
              <w:spacing w:line="240" w:lineRule="auto"/>
              <w:rPr>
                <w:rFonts w:hint="eastAsia" w:ascii="Times New Roman" w:hAnsi="Times New Roman" w:eastAsia="宋体" w:cs="Times New Roman"/>
                <w:kern w:val="2"/>
                <w:sz w:val="32"/>
                <w:szCs w:val="32"/>
                <w:lang w:val="en-US" w:eastAsia="zh-CN" w:bidi="ar-SA"/>
              </w:rPr>
            </w:pPr>
            <w:r>
              <w:rPr>
                <w:rFonts w:hint="eastAsia"/>
                <w:sz w:val="32"/>
                <w:szCs w:val="32"/>
              </w:rPr>
              <w:t>条款</w:t>
            </w:r>
          </w:p>
        </w:tc>
        <w:tc>
          <w:tcPr>
            <w:tcW w:w="3402" w:type="pct"/>
            <w:vAlign w:val="top"/>
          </w:tcPr>
          <w:p>
            <w:pPr>
              <w:spacing w:before="120" w:line="240" w:lineRule="auto"/>
              <w:jc w:val="both"/>
              <w:rPr>
                <w:rFonts w:hint="default" w:ascii="Times New Roman" w:hAnsi="Times New Roman" w:eastAsia="宋体" w:cs="Times New Roman"/>
                <w:sz w:val="28"/>
                <w:szCs w:val="28"/>
                <w:lang w:val="en-US"/>
              </w:rPr>
            </w:pPr>
            <w:r>
              <w:rPr>
                <w:rFonts w:hint="eastAsia" w:ascii="Times New Roman" w:hAnsi="Times New Roman" w:eastAsia="宋体" w:cs="Times New Roman"/>
                <w:sz w:val="28"/>
                <w:szCs w:val="28"/>
              </w:rPr>
              <w:t>受审核部门：</w:t>
            </w:r>
            <w:r>
              <w:rPr>
                <w:rFonts w:hint="eastAsia" w:ascii="Times New Roman" w:hAnsi="Times New Roman" w:eastAsia="宋体" w:cs="Times New Roman"/>
                <w:sz w:val="28"/>
                <w:szCs w:val="28"/>
                <w:lang w:val="en-US" w:eastAsia="zh-CN"/>
              </w:rPr>
              <w:t>综合部</w:t>
            </w:r>
            <w:r>
              <w:rPr>
                <w:rFonts w:hint="eastAsia" w:cs="Times New Roman"/>
                <w:sz w:val="28"/>
                <w:szCs w:val="28"/>
                <w:lang w:val="en-US" w:eastAsia="zh-CN"/>
              </w:rPr>
              <w:t>/员工代表</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rPr>
              <w:t>主管领导</w:t>
            </w:r>
            <w:r>
              <w:rPr>
                <w:rFonts w:hint="eastAsia"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rPr>
              <w:t>陪同人员：</w:t>
            </w:r>
            <w:r>
              <w:rPr>
                <w:rFonts w:hint="eastAsia" w:cs="Times New Roman"/>
                <w:sz w:val="28"/>
                <w:szCs w:val="28"/>
                <w:lang w:val="en-US" w:eastAsia="zh-CN"/>
              </w:rPr>
              <w:t>综合部经理：苗雨；员工代表：姜微；</w:t>
            </w:r>
          </w:p>
          <w:p>
            <w:pPr>
              <w:spacing w:before="120" w:line="240" w:lineRule="auto"/>
              <w:jc w:val="both"/>
              <w:rPr>
                <w:rFonts w:hint="eastAsia" w:ascii="Times New Roman" w:hAnsi="Times New Roman" w:eastAsia="宋体" w:cs="Times New Roman"/>
                <w:sz w:val="21"/>
                <w:szCs w:val="21"/>
                <w:lang w:val="en-US" w:eastAsia="zh-CN"/>
              </w:rPr>
            </w:pPr>
          </w:p>
        </w:tc>
        <w:tc>
          <w:tcPr>
            <w:tcW w:w="538" w:type="pct"/>
            <w:vMerge w:val="restart"/>
            <w:vAlign w:val="center"/>
          </w:tcPr>
          <w:p>
            <w:pPr>
              <w:spacing w:line="240" w:lineRule="auto"/>
              <w:rPr>
                <w:rFonts w:ascii="Times New Roman" w:hAnsi="Times New Roman" w:eastAsia="宋体" w:cs="Times New Roman"/>
                <w:kern w:val="2"/>
                <w:sz w:val="21"/>
                <w:szCs w:val="21"/>
                <w:lang w:val="en-US" w:eastAsia="zh-CN" w:bidi="ar-SA"/>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33" w:type="pct"/>
            <w:vMerge w:val="continue"/>
            <w:vAlign w:val="center"/>
          </w:tcPr>
          <w:p>
            <w:pPr>
              <w:spacing w:line="240" w:lineRule="auto"/>
              <w:jc w:val="center"/>
              <w:rPr>
                <w:rFonts w:hint="eastAsia"/>
                <w:sz w:val="21"/>
                <w:szCs w:val="21"/>
              </w:rPr>
            </w:pPr>
          </w:p>
        </w:tc>
        <w:tc>
          <w:tcPr>
            <w:tcW w:w="326" w:type="pct"/>
            <w:vMerge w:val="continue"/>
            <w:vAlign w:val="center"/>
          </w:tcPr>
          <w:p>
            <w:pPr>
              <w:spacing w:line="240" w:lineRule="auto"/>
              <w:rPr>
                <w:rFonts w:hint="eastAsia"/>
                <w:sz w:val="21"/>
                <w:szCs w:val="21"/>
              </w:rPr>
            </w:pPr>
          </w:p>
        </w:tc>
        <w:tc>
          <w:tcPr>
            <w:tcW w:w="3402" w:type="pct"/>
            <w:vAlign w:val="top"/>
          </w:tcPr>
          <w:p>
            <w:pPr>
              <w:spacing w:before="120" w:line="240" w:lineRule="auto"/>
              <w:jc w:val="both"/>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审核员：</w:t>
            </w:r>
            <w:r>
              <w:rPr>
                <w:rFonts w:hint="eastAsia" w:ascii="Times New Roman" w:hAnsi="Times New Roman" w:eastAsia="宋体" w:cs="Times New Roman"/>
                <w:sz w:val="21"/>
                <w:szCs w:val="21"/>
                <w:lang w:val="en-US" w:eastAsia="zh-CN"/>
              </w:rPr>
              <w:t>周文/远程；</w:t>
            </w:r>
            <w:r>
              <w:rPr>
                <w:rFonts w:hint="eastAsia" w:ascii="Times New Roman" w:hAnsi="Times New Roman" w:eastAsia="宋体" w:cs="Times New Roman"/>
                <w:sz w:val="21"/>
                <w:szCs w:val="21"/>
              </w:rPr>
              <w:t>审核时间：2022年05月1</w:t>
            </w:r>
            <w:r>
              <w:rPr>
                <w:rFonts w:hint="eastAsia"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rPr>
              <w:t xml:space="preserve">日 </w:t>
            </w:r>
          </w:p>
        </w:tc>
        <w:tc>
          <w:tcPr>
            <w:tcW w:w="538" w:type="pct"/>
            <w:vMerge w:val="continue"/>
            <w:vAlign w:val="center"/>
          </w:tcPr>
          <w:p>
            <w:pPr>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33" w:type="pct"/>
            <w:vMerge w:val="continue"/>
            <w:vAlign w:val="center"/>
          </w:tcPr>
          <w:p>
            <w:pPr>
              <w:spacing w:line="240" w:lineRule="auto"/>
              <w:jc w:val="center"/>
              <w:rPr>
                <w:rFonts w:hint="eastAsia"/>
                <w:sz w:val="21"/>
                <w:szCs w:val="21"/>
              </w:rPr>
            </w:pPr>
          </w:p>
        </w:tc>
        <w:tc>
          <w:tcPr>
            <w:tcW w:w="326" w:type="pct"/>
            <w:vMerge w:val="continue"/>
            <w:vAlign w:val="center"/>
          </w:tcPr>
          <w:p>
            <w:pPr>
              <w:spacing w:line="240" w:lineRule="auto"/>
              <w:rPr>
                <w:rFonts w:hint="eastAsia"/>
                <w:sz w:val="21"/>
                <w:szCs w:val="21"/>
              </w:rPr>
            </w:pPr>
          </w:p>
        </w:tc>
        <w:tc>
          <w:tcPr>
            <w:tcW w:w="3402" w:type="pct"/>
            <w:vAlign w:val="center"/>
          </w:tcPr>
          <w:p>
            <w:pPr>
              <w:spacing w:line="240" w:lineRule="auto"/>
              <w:rPr>
                <w:rFonts w:hint="eastAsia"/>
                <w:sz w:val="21"/>
                <w:szCs w:val="21"/>
                <w:lang w:val="en-US" w:eastAsia="zh-CN"/>
              </w:rPr>
            </w:pPr>
            <w:r>
              <w:rPr>
                <w:rFonts w:hint="eastAsia"/>
                <w:sz w:val="21"/>
                <w:szCs w:val="21"/>
              </w:rPr>
              <w:t>审核条款：</w:t>
            </w:r>
          </w:p>
          <w:p>
            <w:pPr>
              <w:pStyle w:val="2"/>
              <w:spacing w:line="240" w:lineRule="auto"/>
              <w:rPr>
                <w:rFonts w:hint="eastAsia"/>
                <w:sz w:val="21"/>
                <w:szCs w:val="21"/>
                <w:lang w:eastAsia="zh-CN"/>
              </w:rPr>
            </w:pPr>
            <w:r>
              <w:rPr>
                <w:rFonts w:hint="eastAsia"/>
                <w:sz w:val="21"/>
                <w:szCs w:val="21"/>
                <w:lang w:val="en-US" w:eastAsia="zh-CN"/>
              </w:rPr>
              <w:t>1、公司及</w:t>
            </w:r>
            <w:r>
              <w:rPr>
                <w:rFonts w:hint="eastAsia"/>
                <w:sz w:val="21"/>
                <w:szCs w:val="21"/>
              </w:rPr>
              <w:t>部门业务过程风险确定及策划</w:t>
            </w:r>
            <w:r>
              <w:rPr>
                <w:rFonts w:hint="eastAsia"/>
                <w:sz w:val="21"/>
                <w:szCs w:val="21"/>
                <w:lang w:eastAsia="zh-CN"/>
              </w:rPr>
              <w:t>；</w:t>
            </w:r>
          </w:p>
          <w:p>
            <w:pPr>
              <w:pStyle w:val="2"/>
              <w:spacing w:line="240" w:lineRule="auto"/>
              <w:rPr>
                <w:rFonts w:hint="eastAsia"/>
                <w:sz w:val="21"/>
                <w:szCs w:val="21"/>
                <w:lang w:val="en-US" w:eastAsia="zh-CN"/>
              </w:rPr>
            </w:pPr>
            <w:r>
              <w:rPr>
                <w:rFonts w:hint="eastAsia"/>
                <w:sz w:val="21"/>
                <w:szCs w:val="21"/>
                <w:lang w:val="en-US" w:eastAsia="zh-CN"/>
              </w:rPr>
              <w:t>*部门权责分配的适宜性；员工</w:t>
            </w:r>
            <w:r>
              <w:rPr>
                <w:rFonts w:hint="eastAsia"/>
                <w:sz w:val="21"/>
                <w:szCs w:val="21"/>
                <w:lang w:eastAsia="zh-CN"/>
              </w:rPr>
              <w:t>代表职责履行情况；</w:t>
            </w:r>
            <w:r>
              <w:rPr>
                <w:rFonts w:hint="eastAsia"/>
                <w:sz w:val="21"/>
                <w:szCs w:val="21"/>
                <w:lang w:val="en-US" w:eastAsia="zh-CN"/>
              </w:rPr>
              <w:t>公司及部门</w:t>
            </w:r>
            <w:r>
              <w:rPr>
                <w:rFonts w:hint="eastAsia"/>
                <w:sz w:val="21"/>
                <w:szCs w:val="21"/>
              </w:rPr>
              <w:t>目标体系的建立</w:t>
            </w:r>
            <w:r>
              <w:rPr>
                <w:rFonts w:hint="eastAsia"/>
                <w:sz w:val="21"/>
                <w:szCs w:val="21"/>
                <w:lang w:eastAsia="zh-CN"/>
              </w:rPr>
              <w:t>（</w:t>
            </w:r>
            <w:r>
              <w:rPr>
                <w:rFonts w:hint="eastAsia"/>
                <w:sz w:val="21"/>
                <w:szCs w:val="21"/>
                <w:lang w:val="en-US" w:eastAsia="zh-CN"/>
              </w:rPr>
              <w:t>QES5.3、6.2；S5.4）</w:t>
            </w:r>
          </w:p>
          <w:p>
            <w:pPr>
              <w:pStyle w:val="2"/>
              <w:spacing w:line="240" w:lineRule="auto"/>
              <w:rPr>
                <w:rFonts w:hint="eastAsia"/>
                <w:sz w:val="21"/>
                <w:szCs w:val="21"/>
                <w:lang w:val="en-US" w:eastAsia="zh-CN"/>
              </w:rPr>
            </w:pPr>
            <w:r>
              <w:rPr>
                <w:rFonts w:hint="eastAsia"/>
                <w:sz w:val="21"/>
                <w:szCs w:val="21"/>
                <w:lang w:val="en-US" w:eastAsia="zh-CN"/>
              </w:rPr>
              <w:t>*</w:t>
            </w:r>
            <w:r>
              <w:rPr>
                <w:rFonts w:hint="eastAsia"/>
                <w:sz w:val="21"/>
                <w:szCs w:val="21"/>
              </w:rPr>
              <w:t>环境因素和危险源</w:t>
            </w:r>
            <w:r>
              <w:rPr>
                <w:rFonts w:hint="eastAsia"/>
                <w:sz w:val="21"/>
                <w:szCs w:val="21"/>
                <w:lang w:eastAsia="zh-CN"/>
              </w:rPr>
              <w:t>、</w:t>
            </w:r>
            <w:r>
              <w:rPr>
                <w:rFonts w:hint="eastAsia"/>
                <w:sz w:val="21"/>
                <w:szCs w:val="21"/>
                <w:lang w:val="en-US" w:eastAsia="zh-CN"/>
              </w:rPr>
              <w:t>职业健康安全风险和机遇</w:t>
            </w:r>
            <w:r>
              <w:rPr>
                <w:rFonts w:hint="eastAsia"/>
                <w:sz w:val="21"/>
                <w:szCs w:val="21"/>
              </w:rPr>
              <w:t>辨识的充分性、风险评价的有效性</w:t>
            </w:r>
            <w:r>
              <w:rPr>
                <w:rFonts w:hint="eastAsia"/>
                <w:sz w:val="21"/>
                <w:szCs w:val="21"/>
                <w:lang w:eastAsia="zh-CN"/>
              </w:rPr>
              <w:t>（</w:t>
            </w:r>
            <w:r>
              <w:rPr>
                <w:rFonts w:hint="eastAsia"/>
                <w:sz w:val="21"/>
                <w:szCs w:val="21"/>
                <w:lang w:val="en-US" w:eastAsia="zh-CN"/>
              </w:rPr>
              <w:t>ES6.1.2）</w:t>
            </w:r>
          </w:p>
          <w:p>
            <w:pPr>
              <w:pStyle w:val="2"/>
              <w:spacing w:line="240" w:lineRule="auto"/>
              <w:rPr>
                <w:rFonts w:hint="eastAsia"/>
                <w:sz w:val="21"/>
                <w:szCs w:val="21"/>
                <w:lang w:eastAsia="zh-CN"/>
              </w:rPr>
            </w:pPr>
            <w:r>
              <w:rPr>
                <w:rFonts w:hint="eastAsia"/>
                <w:sz w:val="21"/>
                <w:szCs w:val="21"/>
                <w:lang w:val="en-US" w:eastAsia="zh-CN"/>
              </w:rPr>
              <w:t>2、</w:t>
            </w:r>
            <w:r>
              <w:rPr>
                <w:rFonts w:hint="eastAsia"/>
                <w:sz w:val="21"/>
                <w:szCs w:val="21"/>
              </w:rPr>
              <w:t>一体化管理体系支持过程</w:t>
            </w:r>
            <w:r>
              <w:rPr>
                <w:rFonts w:hint="eastAsia"/>
                <w:sz w:val="21"/>
                <w:szCs w:val="21"/>
                <w:lang w:eastAsia="zh-CN"/>
              </w:rPr>
              <w:t>；</w:t>
            </w:r>
          </w:p>
          <w:p>
            <w:pPr>
              <w:pStyle w:val="2"/>
              <w:spacing w:line="240" w:lineRule="auto"/>
              <w:rPr>
                <w:rFonts w:hint="eastAsia"/>
                <w:sz w:val="21"/>
                <w:szCs w:val="21"/>
                <w:lang w:val="en-US" w:eastAsia="zh-CN"/>
              </w:rPr>
            </w:pPr>
            <w:r>
              <w:rPr>
                <w:rFonts w:hint="eastAsia"/>
                <w:sz w:val="21"/>
                <w:szCs w:val="21"/>
                <w:lang w:val="en-US" w:eastAsia="zh-CN"/>
              </w:rPr>
              <w:t>*</w:t>
            </w:r>
            <w:r>
              <w:rPr>
                <w:rFonts w:hint="eastAsia"/>
                <w:sz w:val="21"/>
                <w:szCs w:val="21"/>
              </w:rPr>
              <w:t>人力资源管理</w:t>
            </w:r>
            <w:r>
              <w:rPr>
                <w:rFonts w:hint="eastAsia"/>
                <w:sz w:val="21"/>
                <w:szCs w:val="21"/>
                <w:lang w:val="en-US" w:eastAsia="zh-CN"/>
              </w:rPr>
              <w:t>过程(Q7.1.2、QES7.2、7.3）</w:t>
            </w:r>
          </w:p>
          <w:p>
            <w:pPr>
              <w:pStyle w:val="2"/>
              <w:spacing w:line="240" w:lineRule="auto"/>
              <w:rPr>
                <w:rFonts w:hint="eastAsia"/>
                <w:sz w:val="21"/>
                <w:szCs w:val="21"/>
                <w:lang w:val="en-US" w:eastAsia="zh-CN"/>
              </w:rPr>
            </w:pPr>
            <w:r>
              <w:rPr>
                <w:rFonts w:hint="eastAsia"/>
                <w:sz w:val="21"/>
                <w:szCs w:val="21"/>
                <w:lang w:val="en-US" w:eastAsia="zh-CN"/>
              </w:rPr>
              <w:t>*</w:t>
            </w:r>
            <w:r>
              <w:rPr>
                <w:rFonts w:hint="eastAsia"/>
                <w:sz w:val="21"/>
                <w:szCs w:val="21"/>
              </w:rPr>
              <w:t>知识管理的策划、实施与保持</w:t>
            </w:r>
            <w:r>
              <w:rPr>
                <w:rFonts w:hint="eastAsia"/>
                <w:sz w:val="21"/>
                <w:szCs w:val="21"/>
                <w:lang w:eastAsia="zh-CN"/>
              </w:rPr>
              <w:t>（</w:t>
            </w:r>
            <w:r>
              <w:rPr>
                <w:rFonts w:hint="eastAsia"/>
                <w:sz w:val="21"/>
                <w:szCs w:val="21"/>
                <w:lang w:val="en-US" w:eastAsia="zh-CN"/>
              </w:rPr>
              <w:t>Q7.1.6）</w:t>
            </w:r>
          </w:p>
          <w:p>
            <w:pPr>
              <w:pStyle w:val="2"/>
              <w:spacing w:line="240" w:lineRule="auto"/>
              <w:rPr>
                <w:rFonts w:hint="eastAsia"/>
                <w:sz w:val="21"/>
                <w:szCs w:val="21"/>
                <w:lang w:val="en-US" w:eastAsia="zh-CN"/>
              </w:rPr>
            </w:pPr>
            <w:r>
              <w:rPr>
                <w:rFonts w:hint="eastAsia"/>
                <w:sz w:val="21"/>
                <w:szCs w:val="21"/>
                <w:lang w:val="en-US" w:eastAsia="zh-CN"/>
              </w:rPr>
              <w:t>*</w:t>
            </w:r>
            <w:r>
              <w:rPr>
                <w:rFonts w:hint="eastAsia"/>
                <w:sz w:val="21"/>
                <w:szCs w:val="21"/>
              </w:rPr>
              <w:t>沟通机制的建立和实施</w:t>
            </w:r>
            <w:r>
              <w:rPr>
                <w:rFonts w:hint="eastAsia"/>
                <w:sz w:val="21"/>
                <w:szCs w:val="21"/>
                <w:lang w:eastAsia="zh-CN"/>
              </w:rPr>
              <w:t>（</w:t>
            </w:r>
            <w:r>
              <w:rPr>
                <w:rFonts w:hint="eastAsia"/>
                <w:sz w:val="21"/>
                <w:szCs w:val="21"/>
                <w:lang w:val="en-US" w:eastAsia="zh-CN"/>
              </w:rPr>
              <w:t>QES7.4）</w:t>
            </w:r>
          </w:p>
          <w:p>
            <w:pPr>
              <w:pStyle w:val="2"/>
              <w:spacing w:line="240" w:lineRule="auto"/>
              <w:rPr>
                <w:rFonts w:hint="eastAsia"/>
                <w:sz w:val="21"/>
                <w:szCs w:val="21"/>
                <w:lang w:val="en-US" w:eastAsia="zh-CN"/>
              </w:rPr>
            </w:pPr>
            <w:r>
              <w:rPr>
                <w:rFonts w:hint="eastAsia"/>
                <w:sz w:val="21"/>
                <w:szCs w:val="21"/>
                <w:lang w:val="en-US" w:eastAsia="zh-CN"/>
              </w:rPr>
              <w:t>*</w:t>
            </w:r>
            <w:r>
              <w:rPr>
                <w:rFonts w:hint="eastAsia"/>
                <w:sz w:val="21"/>
                <w:szCs w:val="21"/>
              </w:rPr>
              <w:t>综合管理体系文件化信息的建立及管理</w:t>
            </w:r>
            <w:r>
              <w:rPr>
                <w:rFonts w:hint="eastAsia"/>
                <w:sz w:val="21"/>
                <w:szCs w:val="21"/>
                <w:lang w:eastAsia="zh-CN"/>
              </w:rPr>
              <w:t>（</w:t>
            </w:r>
            <w:r>
              <w:rPr>
                <w:rFonts w:hint="eastAsia"/>
                <w:sz w:val="21"/>
                <w:szCs w:val="21"/>
                <w:lang w:val="en-US" w:eastAsia="zh-CN"/>
              </w:rPr>
              <w:t>QES7.5）</w:t>
            </w:r>
          </w:p>
          <w:p>
            <w:pPr>
              <w:pStyle w:val="2"/>
              <w:spacing w:line="240" w:lineRule="auto"/>
              <w:rPr>
                <w:rFonts w:hint="eastAsia"/>
                <w:sz w:val="21"/>
                <w:szCs w:val="21"/>
                <w:lang w:val="en-US" w:eastAsia="zh-CN"/>
              </w:rPr>
            </w:pPr>
            <w:r>
              <w:rPr>
                <w:rFonts w:hint="eastAsia"/>
                <w:sz w:val="21"/>
                <w:szCs w:val="21"/>
                <w:lang w:val="en-US" w:eastAsia="zh-CN"/>
              </w:rPr>
              <w:t>3、采购过程控制（Q8.4）</w:t>
            </w:r>
          </w:p>
          <w:p>
            <w:pPr>
              <w:pStyle w:val="2"/>
              <w:spacing w:line="240" w:lineRule="auto"/>
              <w:rPr>
                <w:rFonts w:hint="eastAsia"/>
                <w:sz w:val="21"/>
                <w:szCs w:val="21"/>
              </w:rPr>
            </w:pPr>
            <w:r>
              <w:rPr>
                <w:rFonts w:hint="eastAsia"/>
                <w:sz w:val="21"/>
                <w:szCs w:val="21"/>
                <w:lang w:val="en-US" w:eastAsia="zh-CN"/>
              </w:rPr>
              <w:t xml:space="preserve">*外部供方选择、评价准则的确定；包括外包方； </w:t>
            </w:r>
          </w:p>
          <w:p>
            <w:pPr>
              <w:pStyle w:val="2"/>
              <w:spacing w:line="240" w:lineRule="auto"/>
              <w:rPr>
                <w:rFonts w:hint="eastAsia"/>
                <w:sz w:val="21"/>
                <w:szCs w:val="21"/>
              </w:rPr>
            </w:pPr>
            <w:r>
              <w:rPr>
                <w:rFonts w:hint="eastAsia"/>
                <w:sz w:val="21"/>
                <w:szCs w:val="21"/>
                <w:lang w:val="en-US" w:eastAsia="zh-CN"/>
              </w:rPr>
              <w:t xml:space="preserve">*外部供方控制类型和程度的适宜性； </w:t>
            </w:r>
          </w:p>
          <w:p>
            <w:pPr>
              <w:pStyle w:val="2"/>
              <w:spacing w:line="240" w:lineRule="auto"/>
              <w:rPr>
                <w:rFonts w:hint="eastAsia"/>
                <w:sz w:val="21"/>
                <w:szCs w:val="21"/>
                <w:lang w:val="en-US" w:eastAsia="zh-CN"/>
              </w:rPr>
            </w:pPr>
            <w:r>
              <w:rPr>
                <w:rFonts w:hint="eastAsia"/>
                <w:sz w:val="21"/>
                <w:szCs w:val="21"/>
                <w:lang w:val="en-US" w:eastAsia="zh-CN"/>
              </w:rPr>
              <w:t>*与外部供方沟通的信息充分性；</w:t>
            </w:r>
          </w:p>
          <w:p>
            <w:pPr>
              <w:pStyle w:val="2"/>
              <w:spacing w:line="240" w:lineRule="auto"/>
              <w:rPr>
                <w:rFonts w:hint="eastAsia"/>
                <w:sz w:val="21"/>
                <w:szCs w:val="21"/>
              </w:rPr>
            </w:pPr>
            <w:r>
              <w:rPr>
                <w:rFonts w:hint="eastAsia"/>
                <w:sz w:val="21"/>
                <w:szCs w:val="21"/>
                <w:lang w:val="en-US" w:eastAsia="zh-CN"/>
              </w:rPr>
              <w:t>4、</w:t>
            </w:r>
            <w:r>
              <w:rPr>
                <w:rFonts w:hint="eastAsia"/>
                <w:sz w:val="21"/>
                <w:szCs w:val="21"/>
              </w:rPr>
              <w:t>体系综合运行的控制</w:t>
            </w:r>
            <w:r>
              <w:rPr>
                <w:rFonts w:hint="eastAsia"/>
                <w:sz w:val="21"/>
                <w:szCs w:val="21"/>
                <w:lang w:eastAsia="zh-CN"/>
              </w:rPr>
              <w:t>（</w:t>
            </w:r>
            <w:r>
              <w:rPr>
                <w:rFonts w:hint="eastAsia"/>
                <w:sz w:val="21"/>
                <w:szCs w:val="21"/>
              </w:rPr>
              <w:t>含办公场所巡视</w:t>
            </w:r>
            <w:r>
              <w:rPr>
                <w:rFonts w:hint="eastAsia"/>
                <w:sz w:val="21"/>
                <w:szCs w:val="21"/>
                <w:lang w:eastAsia="zh-CN"/>
              </w:rPr>
              <w:t>）</w:t>
            </w:r>
            <w:r>
              <w:rPr>
                <w:rFonts w:hint="eastAsia"/>
                <w:sz w:val="21"/>
                <w:szCs w:val="21"/>
              </w:rPr>
              <w:t>应急机制的建立</w:t>
            </w:r>
            <w:r>
              <w:rPr>
                <w:rFonts w:hint="eastAsia"/>
                <w:sz w:val="21"/>
                <w:szCs w:val="21"/>
                <w:lang w:eastAsia="zh-CN"/>
              </w:rPr>
              <w:t>（</w:t>
            </w:r>
            <w:r>
              <w:rPr>
                <w:rFonts w:hint="eastAsia"/>
                <w:sz w:val="21"/>
                <w:szCs w:val="21"/>
                <w:lang w:val="en-US" w:eastAsia="zh-CN"/>
              </w:rPr>
              <w:t>ES8.1、8.2）</w:t>
            </w:r>
          </w:p>
          <w:p>
            <w:pPr>
              <w:pStyle w:val="2"/>
              <w:spacing w:line="240" w:lineRule="auto"/>
              <w:rPr>
                <w:rFonts w:hint="eastAsia"/>
                <w:sz w:val="21"/>
                <w:szCs w:val="21"/>
              </w:rPr>
            </w:pPr>
            <w:r>
              <w:rPr>
                <w:rFonts w:hint="eastAsia"/>
                <w:sz w:val="21"/>
                <w:szCs w:val="21"/>
                <w:lang w:val="en-US" w:eastAsia="zh-CN"/>
              </w:rPr>
              <w:t>6、</w:t>
            </w:r>
            <w:r>
              <w:rPr>
                <w:rFonts w:hint="eastAsia"/>
                <w:sz w:val="21"/>
                <w:szCs w:val="21"/>
              </w:rPr>
              <w:t xml:space="preserve">管理体系绩效检查及改进机制运行的有效性 </w:t>
            </w:r>
            <w:r>
              <w:rPr>
                <w:rFonts w:hint="eastAsia"/>
                <w:sz w:val="21"/>
                <w:szCs w:val="21"/>
                <w:lang w:val="en-US" w:eastAsia="zh-CN"/>
              </w:rPr>
              <w:t>(QES9.1.1、9.2、10.2；Q9.1.3)</w:t>
            </w:r>
          </w:p>
          <w:p>
            <w:pPr>
              <w:pStyle w:val="2"/>
              <w:spacing w:line="240" w:lineRule="auto"/>
              <w:rPr>
                <w:rFonts w:hint="eastAsia"/>
                <w:sz w:val="21"/>
                <w:szCs w:val="21"/>
                <w:lang w:val="en-US" w:eastAsia="zh-CN"/>
              </w:rPr>
            </w:pPr>
            <w:r>
              <w:rPr>
                <w:rFonts w:hint="eastAsia"/>
                <w:sz w:val="21"/>
                <w:szCs w:val="21"/>
              </w:rPr>
              <w:t>*管理体系的预期结果实现情况</w:t>
            </w:r>
          </w:p>
          <w:p>
            <w:pPr>
              <w:pStyle w:val="2"/>
              <w:spacing w:line="240" w:lineRule="auto"/>
              <w:rPr>
                <w:rFonts w:hint="eastAsia"/>
                <w:sz w:val="21"/>
                <w:szCs w:val="21"/>
              </w:rPr>
            </w:pPr>
            <w:r>
              <w:rPr>
                <w:rFonts w:hint="eastAsia"/>
                <w:sz w:val="21"/>
                <w:szCs w:val="21"/>
              </w:rPr>
              <w:t>*</w:t>
            </w:r>
            <w:r>
              <w:rPr>
                <w:rFonts w:hint="eastAsia"/>
                <w:sz w:val="21"/>
                <w:szCs w:val="21"/>
                <w:lang w:val="en-US" w:eastAsia="zh-CN"/>
              </w:rPr>
              <w:t>内部审核过程</w:t>
            </w:r>
            <w:r>
              <w:rPr>
                <w:rFonts w:hint="eastAsia"/>
                <w:sz w:val="21"/>
                <w:szCs w:val="21"/>
              </w:rPr>
              <w:t>的有效性</w:t>
            </w:r>
          </w:p>
          <w:p>
            <w:pPr>
              <w:pStyle w:val="2"/>
              <w:spacing w:line="240" w:lineRule="auto"/>
              <w:rPr>
                <w:rFonts w:hint="eastAsia"/>
                <w:sz w:val="21"/>
                <w:szCs w:val="21"/>
              </w:rPr>
            </w:pPr>
            <w:r>
              <w:rPr>
                <w:rFonts w:hint="eastAsia"/>
                <w:sz w:val="21"/>
                <w:szCs w:val="21"/>
              </w:rPr>
              <w:t>*必要的环境和职业健康安全监测和检查</w:t>
            </w:r>
            <w:r>
              <w:rPr>
                <w:rFonts w:hint="eastAsia"/>
                <w:sz w:val="21"/>
                <w:szCs w:val="21"/>
                <w:lang w:val="en-US" w:eastAsia="zh-CN"/>
              </w:rPr>
              <w:t>（包括但不仅限于内外部实施的环保监测、职业危害监测、职业健康体检、安全、消防检查等）、</w:t>
            </w:r>
            <w:r>
              <w:rPr>
                <w:rFonts w:hint="eastAsia"/>
                <w:sz w:val="21"/>
                <w:szCs w:val="21"/>
              </w:rPr>
              <w:t xml:space="preserve">合规评价实施及绩效信息分析评价的结果； </w:t>
            </w:r>
          </w:p>
          <w:p>
            <w:pPr>
              <w:pStyle w:val="2"/>
              <w:spacing w:line="240" w:lineRule="auto"/>
              <w:rPr>
                <w:rFonts w:hint="eastAsia"/>
                <w:sz w:val="21"/>
                <w:szCs w:val="21"/>
              </w:rPr>
            </w:pPr>
            <w:r>
              <w:rPr>
                <w:rFonts w:hint="eastAsia"/>
                <w:sz w:val="21"/>
                <w:szCs w:val="21"/>
              </w:rPr>
              <w:t xml:space="preserve">*部门内审不符合的整改、管理评审输出的落实情况。 </w:t>
            </w:r>
          </w:p>
          <w:p>
            <w:pPr>
              <w:pStyle w:val="2"/>
              <w:spacing w:line="240" w:lineRule="auto"/>
              <w:rPr>
                <w:rFonts w:hint="eastAsia" w:ascii="Times New Roman" w:hAnsi="Times New Roman" w:eastAsia="宋体" w:cs="Times New Roman"/>
                <w:kern w:val="2"/>
                <w:sz w:val="21"/>
                <w:szCs w:val="21"/>
                <w:lang w:val="en-US" w:eastAsia="zh-CN" w:bidi="ar-SA"/>
              </w:rPr>
            </w:pPr>
            <w:r>
              <w:rPr>
                <w:rFonts w:hint="eastAsia"/>
                <w:sz w:val="21"/>
                <w:szCs w:val="21"/>
              </w:rPr>
              <w:t>*</w:t>
            </w:r>
            <w:r>
              <w:rPr>
                <w:rFonts w:hint="eastAsia"/>
                <w:sz w:val="21"/>
                <w:szCs w:val="21"/>
                <w:lang w:val="en-US" w:eastAsia="zh-CN"/>
              </w:rPr>
              <w:t>质量、</w:t>
            </w:r>
            <w:r>
              <w:rPr>
                <w:rFonts w:hint="eastAsia"/>
                <w:sz w:val="21"/>
                <w:szCs w:val="21"/>
              </w:rPr>
              <w:t>环境、职业健康安全事故、不符合改进；</w:t>
            </w:r>
          </w:p>
        </w:tc>
        <w:tc>
          <w:tcPr>
            <w:tcW w:w="538" w:type="pct"/>
            <w:vMerge w:val="continue"/>
            <w:vAlign w:val="center"/>
          </w:tcPr>
          <w:p>
            <w:pPr>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eastAsia="宋体"/>
                <w:sz w:val="21"/>
                <w:szCs w:val="21"/>
                <w:lang w:eastAsia="zh-CN"/>
              </w:rPr>
            </w:pPr>
            <w:r>
              <w:rPr>
                <w:rFonts w:hint="eastAsia"/>
                <w:sz w:val="21"/>
                <w:szCs w:val="21"/>
              </w:rPr>
              <w:t>组织的岗位、职责和权限</w:t>
            </w:r>
            <w:r>
              <w:rPr>
                <w:rFonts w:hint="eastAsia"/>
                <w:sz w:val="21"/>
                <w:szCs w:val="21"/>
                <w:lang w:eastAsia="zh-CN"/>
              </w:rPr>
              <w:t>；</w:t>
            </w:r>
          </w:p>
          <w:p>
            <w:pPr>
              <w:pStyle w:val="2"/>
              <w:spacing w:line="240" w:lineRule="auto"/>
              <w:rPr>
                <w:rFonts w:hint="eastAsia"/>
                <w:sz w:val="21"/>
                <w:szCs w:val="21"/>
              </w:rPr>
            </w:pPr>
            <w:r>
              <w:rPr>
                <w:rFonts w:hint="eastAsia" w:ascii="Times New Roman" w:hAnsi="Times New Roman" w:eastAsia="宋体" w:cs="Times New Roman"/>
                <w:kern w:val="2"/>
                <w:sz w:val="21"/>
                <w:szCs w:val="21"/>
                <w:lang w:val="en-US" w:eastAsia="zh-CN" w:bidi="ar-SA"/>
              </w:rPr>
              <w:t>员工的协商和参与</w:t>
            </w:r>
            <w:r>
              <w:rPr>
                <w:rFonts w:hint="eastAsia" w:cs="Times New Roman"/>
                <w:kern w:val="2"/>
                <w:sz w:val="21"/>
                <w:szCs w:val="21"/>
                <w:lang w:val="en-US" w:eastAsia="zh-CN" w:bidi="ar-SA"/>
              </w:rPr>
              <w:t>；</w:t>
            </w:r>
          </w:p>
        </w:tc>
        <w:tc>
          <w:tcPr>
            <w:tcW w:w="326" w:type="pct"/>
            <w:vAlign w:val="center"/>
          </w:tcPr>
          <w:p>
            <w:pPr>
              <w:spacing w:line="240" w:lineRule="auto"/>
              <w:rPr>
                <w:rFonts w:hint="default" w:eastAsia="宋体"/>
                <w:sz w:val="21"/>
                <w:szCs w:val="21"/>
                <w:lang w:val="en-US" w:eastAsia="zh-CN"/>
              </w:rPr>
            </w:pPr>
            <w:r>
              <w:rPr>
                <w:rFonts w:hint="eastAsia"/>
                <w:sz w:val="21"/>
                <w:szCs w:val="21"/>
                <w:lang w:val="en-US" w:eastAsia="zh-CN"/>
              </w:rPr>
              <w:t>QES5.3、S5.4</w:t>
            </w:r>
          </w:p>
        </w:tc>
        <w:tc>
          <w:tcPr>
            <w:tcW w:w="3402" w:type="pct"/>
            <w:vAlign w:val="center"/>
          </w:tcPr>
          <w:p>
            <w:pPr>
              <w:pStyle w:val="14"/>
              <w:spacing w:line="240" w:lineRule="auto"/>
              <w:rPr>
                <w:rFonts w:ascii="宋体" w:hAnsi="宋体"/>
                <w:kern w:val="0"/>
                <w:sz w:val="21"/>
                <w:szCs w:val="21"/>
              </w:rPr>
            </w:pPr>
            <w:r>
              <w:rPr>
                <w:rFonts w:hint="eastAsia"/>
                <w:sz w:val="21"/>
                <w:szCs w:val="21"/>
                <w:lang w:val="en-US" w:eastAsia="zh-CN"/>
              </w:rPr>
              <w:t>---</w:t>
            </w:r>
            <w:r>
              <w:rPr>
                <w:rFonts w:hint="eastAsia"/>
                <w:sz w:val="21"/>
                <w:szCs w:val="21"/>
              </w:rPr>
              <w:t>通过</w:t>
            </w:r>
            <w:r>
              <w:rPr>
                <w:rFonts w:hint="eastAsia"/>
                <w:sz w:val="21"/>
                <w:szCs w:val="21"/>
                <w:lang w:val="en-US" w:eastAsia="zh-CN"/>
              </w:rPr>
              <w:t>综合部</w:t>
            </w:r>
            <w:r>
              <w:rPr>
                <w:rFonts w:hint="eastAsia"/>
                <w:sz w:val="21"/>
                <w:szCs w:val="21"/>
              </w:rPr>
              <w:t>负责人</w:t>
            </w:r>
            <w:r>
              <w:rPr>
                <w:rFonts w:hint="eastAsia"/>
                <w:sz w:val="21"/>
                <w:szCs w:val="21"/>
                <w:lang w:val="en-US" w:eastAsia="zh-CN"/>
              </w:rPr>
              <w:t>及员工代表</w:t>
            </w:r>
            <w:r>
              <w:rPr>
                <w:rFonts w:hint="eastAsia"/>
                <w:sz w:val="21"/>
                <w:szCs w:val="21"/>
              </w:rPr>
              <w:t>交谈及查看《管理手册》附录11.6  职责和权限，其部门的</w:t>
            </w:r>
            <w:r>
              <w:rPr>
                <w:rFonts w:hint="eastAsia" w:ascii="宋体" w:hAnsi="宋体"/>
                <w:kern w:val="0"/>
                <w:sz w:val="21"/>
                <w:szCs w:val="21"/>
              </w:rPr>
              <w:t>岗位职能及权限内容为：</w:t>
            </w:r>
          </w:p>
          <w:p>
            <w:pPr>
              <w:pStyle w:val="14"/>
              <w:spacing w:line="240" w:lineRule="auto"/>
              <w:rPr>
                <w:rFonts w:hint="eastAsia"/>
                <w:sz w:val="21"/>
                <w:szCs w:val="21"/>
              </w:rPr>
            </w:pPr>
            <w:r>
              <w:rPr>
                <w:rFonts w:hint="eastAsia"/>
                <w:sz w:val="21"/>
                <w:szCs w:val="21"/>
              </w:rPr>
              <w:t>11.6.7综合部</w:t>
            </w:r>
          </w:p>
          <w:p>
            <w:pPr>
              <w:pStyle w:val="14"/>
              <w:spacing w:line="240" w:lineRule="auto"/>
              <w:rPr>
                <w:rFonts w:hint="eastAsia"/>
                <w:sz w:val="21"/>
                <w:szCs w:val="21"/>
              </w:rPr>
            </w:pPr>
            <w:r>
              <w:rPr>
                <w:rFonts w:hint="eastAsia"/>
                <w:sz w:val="21"/>
                <w:szCs w:val="21"/>
              </w:rPr>
              <w:t>贯标管理</w:t>
            </w:r>
          </w:p>
          <w:p>
            <w:pPr>
              <w:pStyle w:val="14"/>
              <w:spacing w:line="240" w:lineRule="auto"/>
              <w:rPr>
                <w:rFonts w:hint="eastAsia"/>
                <w:sz w:val="21"/>
                <w:szCs w:val="21"/>
              </w:rPr>
            </w:pPr>
            <w:r>
              <w:rPr>
                <w:rFonts w:hint="eastAsia"/>
                <w:sz w:val="21"/>
                <w:szCs w:val="21"/>
              </w:rPr>
              <w:t>1.组织编写管理手册、程序文件及管理体系文件的归口管理和发放，控制其有效版本。</w:t>
            </w:r>
          </w:p>
          <w:p>
            <w:pPr>
              <w:pStyle w:val="14"/>
              <w:spacing w:line="240" w:lineRule="auto"/>
              <w:rPr>
                <w:rFonts w:hint="eastAsia"/>
                <w:sz w:val="21"/>
                <w:szCs w:val="21"/>
              </w:rPr>
            </w:pPr>
            <w:r>
              <w:rPr>
                <w:rFonts w:hint="eastAsia"/>
                <w:sz w:val="21"/>
                <w:szCs w:val="21"/>
              </w:rPr>
              <w:t>2.负责公司管理体系的有效运行并持续改进，组织管理评审和内审的工作，制订年度内部审核计划及实施，协助总经理做好管理评审工作。</w:t>
            </w:r>
          </w:p>
          <w:p>
            <w:pPr>
              <w:pStyle w:val="14"/>
              <w:spacing w:line="240" w:lineRule="auto"/>
              <w:rPr>
                <w:rFonts w:hint="eastAsia"/>
                <w:sz w:val="21"/>
                <w:szCs w:val="21"/>
              </w:rPr>
            </w:pPr>
            <w:r>
              <w:rPr>
                <w:rFonts w:hint="eastAsia"/>
                <w:sz w:val="21"/>
                <w:szCs w:val="21"/>
              </w:rPr>
              <w:t>3.及时通过各种途径获取相关法律、法规及政策的信息，及时进行合规性评价、更换。</w:t>
            </w:r>
          </w:p>
          <w:p>
            <w:pPr>
              <w:pStyle w:val="14"/>
              <w:spacing w:line="240" w:lineRule="auto"/>
              <w:rPr>
                <w:rFonts w:hint="eastAsia"/>
                <w:sz w:val="21"/>
                <w:szCs w:val="21"/>
              </w:rPr>
            </w:pPr>
            <w:r>
              <w:rPr>
                <w:rFonts w:hint="eastAsia"/>
                <w:sz w:val="21"/>
                <w:szCs w:val="21"/>
              </w:rPr>
              <w:t>4.制定、实施管理目标、指标和管理方案。</w:t>
            </w:r>
          </w:p>
          <w:p>
            <w:pPr>
              <w:pStyle w:val="14"/>
              <w:spacing w:line="240" w:lineRule="auto"/>
              <w:rPr>
                <w:rFonts w:hint="eastAsia"/>
                <w:sz w:val="21"/>
                <w:szCs w:val="21"/>
              </w:rPr>
            </w:pPr>
            <w:r>
              <w:rPr>
                <w:rFonts w:hint="eastAsia"/>
                <w:sz w:val="21"/>
                <w:szCs w:val="21"/>
              </w:rPr>
              <w:t>5.负责管理体系过程的监视和测量，提出改进意见。负责公司质量、环境和职业健康安全体系运行的考核监督。</w:t>
            </w:r>
          </w:p>
          <w:p>
            <w:pPr>
              <w:pStyle w:val="14"/>
              <w:spacing w:line="240" w:lineRule="auto"/>
              <w:rPr>
                <w:rFonts w:hint="eastAsia"/>
                <w:sz w:val="21"/>
                <w:szCs w:val="21"/>
              </w:rPr>
            </w:pPr>
            <w:r>
              <w:rPr>
                <w:rFonts w:hint="eastAsia"/>
                <w:sz w:val="21"/>
                <w:szCs w:val="21"/>
              </w:rPr>
              <w:t>等等。</w:t>
            </w:r>
          </w:p>
          <w:p>
            <w:pPr>
              <w:pStyle w:val="14"/>
              <w:spacing w:line="240" w:lineRule="auto"/>
              <w:rPr>
                <w:rFonts w:hint="eastAsia"/>
                <w:sz w:val="21"/>
                <w:szCs w:val="21"/>
                <w:lang w:val="en-US" w:eastAsia="zh-CN"/>
              </w:rPr>
            </w:pPr>
            <w:r>
              <w:rPr>
                <w:rFonts w:hint="eastAsia"/>
                <w:sz w:val="21"/>
                <w:szCs w:val="21"/>
                <w:lang w:val="en-US" w:eastAsia="zh-CN"/>
              </w:rPr>
              <w:t>查：职业健康安全事务代表名单，经公司员工评选，总经理任命姜微为员工代表，其职责和权限：</w:t>
            </w:r>
          </w:p>
          <w:p>
            <w:pPr>
              <w:pStyle w:val="14"/>
              <w:spacing w:line="240" w:lineRule="auto"/>
              <w:rPr>
                <w:rFonts w:hint="default"/>
                <w:sz w:val="21"/>
                <w:szCs w:val="21"/>
                <w:lang w:val="en-US" w:eastAsia="zh-CN"/>
              </w:rPr>
            </w:pPr>
            <w:r>
              <w:rPr>
                <w:rFonts w:hint="default"/>
                <w:sz w:val="21"/>
                <w:szCs w:val="21"/>
                <w:lang w:val="en-US" w:eastAsia="zh-CN"/>
              </w:rPr>
              <w:t>a．参与职业健康安全管理方针和程序的制订和评审，参与风险评估以及目标和管理方案的制订和评审；</w:t>
            </w:r>
          </w:p>
          <w:p>
            <w:pPr>
              <w:pStyle w:val="14"/>
              <w:spacing w:line="240" w:lineRule="auto"/>
              <w:rPr>
                <w:rFonts w:hint="default"/>
                <w:sz w:val="21"/>
                <w:szCs w:val="21"/>
                <w:lang w:val="en-US" w:eastAsia="zh-CN"/>
              </w:rPr>
            </w:pPr>
            <w:r>
              <w:rPr>
                <w:rFonts w:hint="default"/>
                <w:sz w:val="21"/>
                <w:szCs w:val="21"/>
                <w:lang w:val="en-US" w:eastAsia="zh-CN"/>
              </w:rPr>
              <w:t>b．参与商讨影响工作场所职业健康安全的任何变化及改善作业状况的办法；</w:t>
            </w:r>
          </w:p>
          <w:p>
            <w:pPr>
              <w:pStyle w:val="14"/>
              <w:spacing w:line="240" w:lineRule="auto"/>
              <w:rPr>
                <w:rFonts w:hint="default"/>
                <w:sz w:val="21"/>
                <w:szCs w:val="21"/>
                <w:lang w:val="en-US" w:eastAsia="zh-CN"/>
              </w:rPr>
            </w:pPr>
            <w:r>
              <w:rPr>
                <w:rFonts w:hint="default"/>
                <w:sz w:val="21"/>
                <w:szCs w:val="21"/>
                <w:lang w:val="en-US" w:eastAsia="zh-CN"/>
              </w:rPr>
              <w:t>c．参与职业健康安全事务，主要包括危害辨识、评价与控制措施策划以及事件调查处理等；</w:t>
            </w:r>
          </w:p>
          <w:p>
            <w:pPr>
              <w:pStyle w:val="14"/>
              <w:spacing w:line="240" w:lineRule="auto"/>
              <w:rPr>
                <w:rFonts w:hint="default"/>
                <w:sz w:val="21"/>
                <w:szCs w:val="21"/>
                <w:lang w:val="en-US" w:eastAsia="zh-CN"/>
              </w:rPr>
            </w:pPr>
            <w:r>
              <w:rPr>
                <w:rFonts w:hint="eastAsia"/>
                <w:sz w:val="21"/>
                <w:szCs w:val="21"/>
                <w:lang w:val="en-US" w:eastAsia="zh-CN"/>
              </w:rPr>
              <w:t>......等。</w:t>
            </w:r>
          </w:p>
          <w:p>
            <w:pPr>
              <w:pStyle w:val="2"/>
              <w:spacing w:line="240" w:lineRule="auto"/>
              <w:rPr>
                <w:rFonts w:hint="eastAsia"/>
                <w:sz w:val="21"/>
                <w:szCs w:val="21"/>
                <w:lang w:val="en-US" w:eastAsia="zh-CN"/>
              </w:rPr>
            </w:pPr>
            <w:r>
              <w:rPr>
                <w:rFonts w:hint="eastAsia"/>
                <w:sz w:val="21"/>
                <w:szCs w:val="21"/>
                <w:lang w:eastAsia="zh-CN"/>
              </w:rPr>
              <w:t>——</w:t>
            </w:r>
            <w:r>
              <w:rPr>
                <w:rFonts w:hint="eastAsia"/>
                <w:sz w:val="21"/>
                <w:szCs w:val="21"/>
              </w:rPr>
              <w:t>内容符合。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eastAsia="宋体"/>
                <w:sz w:val="21"/>
                <w:szCs w:val="21"/>
                <w:lang w:val="en-US" w:eastAsia="zh-CN"/>
              </w:rPr>
            </w:pPr>
            <w:r>
              <w:rPr>
                <w:rFonts w:hint="eastAsia"/>
                <w:sz w:val="21"/>
                <w:szCs w:val="21"/>
                <w:lang w:val="en-US" w:eastAsia="zh-CN"/>
              </w:rPr>
              <w:t>目标管理</w:t>
            </w:r>
          </w:p>
        </w:tc>
        <w:tc>
          <w:tcPr>
            <w:tcW w:w="326" w:type="pct"/>
            <w:vAlign w:val="center"/>
          </w:tcPr>
          <w:p>
            <w:pPr>
              <w:spacing w:line="240" w:lineRule="auto"/>
              <w:rPr>
                <w:rFonts w:hint="default" w:eastAsia="宋体"/>
                <w:sz w:val="21"/>
                <w:szCs w:val="21"/>
                <w:lang w:val="en-US" w:eastAsia="zh-CN"/>
              </w:rPr>
            </w:pPr>
            <w:r>
              <w:rPr>
                <w:rFonts w:hint="eastAsia"/>
                <w:sz w:val="21"/>
                <w:szCs w:val="21"/>
                <w:lang w:val="en-US" w:eastAsia="zh-CN"/>
              </w:rPr>
              <w:t>QES6.2</w:t>
            </w:r>
          </w:p>
        </w:tc>
        <w:tc>
          <w:tcPr>
            <w:tcW w:w="3402" w:type="pct"/>
            <w:vAlign w:val="center"/>
          </w:tcPr>
          <w:p>
            <w:pPr>
              <w:pStyle w:val="2"/>
              <w:spacing w:line="240" w:lineRule="auto"/>
              <w:rPr>
                <w:rFonts w:hint="default" w:ascii="Calibri" w:hAnsi="Calibri" w:eastAsia="宋体" w:cs="Times New Roman"/>
                <w:kern w:val="2"/>
                <w:sz w:val="21"/>
                <w:szCs w:val="21"/>
                <w:lang w:val="en-US" w:eastAsia="zh-CN" w:bidi="ar-SA"/>
              </w:rPr>
            </w:pP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制订有“三体系目标分解考核办法”</w:t>
            </w:r>
            <w:r>
              <w:rPr>
                <w:rFonts w:hint="eastAsia" w:ascii="Calibri" w:hAnsi="Calibri" w:cs="Times New Roman"/>
                <w:kern w:val="2"/>
                <w:sz w:val="21"/>
                <w:szCs w:val="21"/>
                <w:lang w:val="en-US" w:eastAsia="zh-CN" w:bidi="ar-SA"/>
              </w:rPr>
              <w:t>，本部门主控。</w:t>
            </w:r>
          </w:p>
          <w:p>
            <w:pPr>
              <w:pStyle w:val="2"/>
              <w:spacing w:line="240" w:lineRule="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查目标分解：</w:t>
            </w:r>
          </w:p>
          <w:tbl>
            <w:tblPr>
              <w:tblStyle w:val="7"/>
              <w:tblpPr w:leftFromText="180" w:rightFromText="180" w:vertAnchor="text" w:horzAnchor="margin" w:tblpXSpec="center" w:tblpY="596"/>
              <w:tblOverlap w:val="never"/>
              <w:tblW w:w="108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57" w:type="dxa"/>
                <w:bottom w:w="28" w:type="dxa"/>
                <w:right w:w="57" w:type="dxa"/>
              </w:tblCellMar>
            </w:tblPr>
            <w:tblGrid>
              <w:gridCol w:w="455"/>
              <w:gridCol w:w="878"/>
              <w:gridCol w:w="4595"/>
              <w:gridCol w:w="4227"/>
              <w:gridCol w:w="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06" w:hRule="atLeast"/>
              </w:trPr>
              <w:tc>
                <w:tcPr>
                  <w:tcW w:w="1333" w:type="dxa"/>
                  <w:gridSpan w:val="2"/>
                  <w:noWrap w:val="0"/>
                  <w:vAlign w:val="center"/>
                </w:tcPr>
                <w:p>
                  <w:pPr>
                    <w:spacing w:line="240" w:lineRule="auto"/>
                    <w:jc w:val="center"/>
                    <w:rPr>
                      <w:rFonts w:hint="eastAsia" w:ascii="宋体" w:hAnsi="宋体"/>
                      <w:b/>
                      <w:bCs/>
                      <w:sz w:val="21"/>
                      <w:szCs w:val="21"/>
                    </w:rPr>
                  </w:pPr>
                  <w:r>
                    <w:rPr>
                      <w:rFonts w:hint="eastAsia" w:ascii="宋体" w:hAnsi="宋体"/>
                      <w:sz w:val="21"/>
                      <w:szCs w:val="21"/>
                    </w:rPr>
                    <w:t>部门</w:t>
                  </w:r>
                </w:p>
              </w:tc>
              <w:tc>
                <w:tcPr>
                  <w:tcW w:w="4595" w:type="dxa"/>
                  <w:noWrap w:val="0"/>
                  <w:vAlign w:val="center"/>
                </w:tcPr>
                <w:p>
                  <w:pPr>
                    <w:spacing w:line="240" w:lineRule="auto"/>
                    <w:jc w:val="center"/>
                    <w:rPr>
                      <w:rFonts w:ascii="宋体" w:hAnsi="宋体"/>
                      <w:b/>
                      <w:bCs/>
                      <w:sz w:val="21"/>
                      <w:szCs w:val="21"/>
                    </w:rPr>
                  </w:pPr>
                  <w:r>
                    <w:rPr>
                      <w:rFonts w:hint="eastAsia" w:ascii="宋体" w:hAnsi="宋体"/>
                      <w:sz w:val="21"/>
                      <w:szCs w:val="21"/>
                    </w:rPr>
                    <w:t>目标/指标</w:t>
                  </w:r>
                </w:p>
              </w:tc>
              <w:tc>
                <w:tcPr>
                  <w:tcW w:w="4227" w:type="dxa"/>
                  <w:noWrap w:val="0"/>
                  <w:vAlign w:val="center"/>
                </w:tcPr>
                <w:p>
                  <w:pPr>
                    <w:spacing w:line="240" w:lineRule="auto"/>
                    <w:jc w:val="center"/>
                    <w:rPr>
                      <w:rFonts w:hint="eastAsia" w:ascii="宋体" w:hAnsi="宋体"/>
                      <w:b/>
                      <w:bCs/>
                      <w:sz w:val="21"/>
                      <w:szCs w:val="21"/>
                    </w:rPr>
                  </w:pPr>
                  <w:r>
                    <w:rPr>
                      <w:rFonts w:hint="eastAsia" w:ascii="宋体" w:hAnsi="宋体"/>
                      <w:sz w:val="21"/>
                      <w:szCs w:val="21"/>
                    </w:rPr>
                    <w:t>计算方法</w:t>
                  </w:r>
                </w:p>
              </w:tc>
              <w:tc>
                <w:tcPr>
                  <w:tcW w:w="667" w:type="dxa"/>
                  <w:noWrap w:val="0"/>
                  <w:vAlign w:val="center"/>
                </w:tcPr>
                <w:p>
                  <w:pPr>
                    <w:spacing w:line="240" w:lineRule="auto"/>
                    <w:jc w:val="center"/>
                    <w:rPr>
                      <w:rFonts w:ascii="宋体" w:hAnsi="宋体"/>
                      <w:b/>
                      <w:bCs/>
                      <w:sz w:val="21"/>
                      <w:szCs w:val="21"/>
                    </w:rPr>
                  </w:pPr>
                  <w:r>
                    <w:rPr>
                      <w:rFonts w:hint="eastAsia" w:ascii="宋体" w:hAnsi="宋体"/>
                      <w:sz w:val="21"/>
                      <w:szCs w:val="21"/>
                    </w:rPr>
                    <w:t>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restart"/>
                  <w:noWrap w:val="0"/>
                  <w:vAlign w:val="center"/>
                </w:tcPr>
                <w:p>
                  <w:pPr>
                    <w:spacing w:line="240" w:lineRule="auto"/>
                    <w:jc w:val="center"/>
                    <w:rPr>
                      <w:rFonts w:ascii="宋体" w:hAnsi="宋体"/>
                      <w:sz w:val="21"/>
                      <w:szCs w:val="21"/>
                    </w:rPr>
                  </w:pPr>
                  <w:r>
                    <w:rPr>
                      <w:rFonts w:hint="eastAsia" w:ascii="宋体" w:hAnsi="宋体"/>
                      <w:sz w:val="21"/>
                      <w:szCs w:val="21"/>
                    </w:rPr>
                    <w:t>公司</w:t>
                  </w:r>
                </w:p>
              </w:tc>
              <w:tc>
                <w:tcPr>
                  <w:tcW w:w="878" w:type="dxa"/>
                  <w:vMerge w:val="restart"/>
                  <w:noWrap w:val="0"/>
                  <w:vAlign w:val="center"/>
                </w:tcPr>
                <w:p>
                  <w:pPr>
                    <w:spacing w:line="240" w:lineRule="auto"/>
                    <w:jc w:val="center"/>
                    <w:rPr>
                      <w:rFonts w:hint="eastAsia" w:ascii="宋体" w:hAnsi="宋体"/>
                      <w:sz w:val="21"/>
                      <w:szCs w:val="21"/>
                    </w:rPr>
                  </w:pPr>
                  <w:r>
                    <w:rPr>
                      <w:rFonts w:hint="eastAsia" w:ascii="宋体" w:hAnsi="宋体"/>
                      <w:sz w:val="21"/>
                      <w:szCs w:val="21"/>
                    </w:rPr>
                    <w:t>质量</w:t>
                  </w: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一次交付合格率100%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（一次交付合格数量÷交付合格总数）*100%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ascii="宋体" w:hAnsi="宋体"/>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b/>
                      <w:bCs/>
                      <w:sz w:val="21"/>
                      <w:szCs w:val="21"/>
                    </w:rPr>
                  </w:pPr>
                  <w:r>
                    <w:rPr>
                      <w:rFonts w:hint="eastAsia" w:ascii="宋体" w:hAnsi="宋体"/>
                      <w:sz w:val="21"/>
                      <w:szCs w:val="21"/>
                    </w:rPr>
                    <w:t>客户满意率≥95%</w:t>
                  </w:r>
                </w:p>
              </w:tc>
              <w:tc>
                <w:tcPr>
                  <w:tcW w:w="4227" w:type="dxa"/>
                  <w:noWrap w:val="0"/>
                  <w:vAlign w:val="center"/>
                </w:tcPr>
                <w:p>
                  <w:pPr>
                    <w:spacing w:line="240" w:lineRule="auto"/>
                    <w:jc w:val="center"/>
                    <w:rPr>
                      <w:rFonts w:hint="eastAsia" w:ascii="宋体" w:hAnsi="宋体"/>
                      <w:b/>
                      <w:bCs/>
                      <w:sz w:val="21"/>
                      <w:szCs w:val="21"/>
                    </w:rPr>
                  </w:pPr>
                  <w:r>
                    <w:rPr>
                      <w:rFonts w:hint="eastAsia" w:ascii="宋体" w:hAnsi="宋体"/>
                      <w:sz w:val="21"/>
                      <w:szCs w:val="21"/>
                    </w:rPr>
                    <w:t>满意度实际得分÷应得总分</w:t>
                  </w:r>
                </w:p>
              </w:tc>
              <w:tc>
                <w:tcPr>
                  <w:tcW w:w="667" w:type="dxa"/>
                  <w:noWrap w:val="0"/>
                  <w:vAlign w:val="center"/>
                </w:tcPr>
                <w:p>
                  <w:pPr>
                    <w:spacing w:line="240" w:lineRule="auto"/>
                    <w:jc w:val="center"/>
                    <w:rPr>
                      <w:rFonts w:ascii="宋体" w:hAnsi="宋体"/>
                      <w:sz w:val="21"/>
                      <w:szCs w:val="21"/>
                    </w:rPr>
                  </w:pPr>
                  <w:r>
                    <w:rPr>
                      <w:rFonts w:hint="eastAsia" w:ascii="宋体" w:hAnsi="宋体"/>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455" w:type="dxa"/>
                  <w:vMerge w:val="continue"/>
                  <w:noWrap w:val="0"/>
                  <w:vAlign w:val="center"/>
                </w:tcPr>
                <w:p>
                  <w:pPr>
                    <w:spacing w:line="240" w:lineRule="auto"/>
                    <w:jc w:val="center"/>
                    <w:rPr>
                      <w:rFonts w:hint="eastAsia" w:ascii="宋体" w:hAnsi="宋体"/>
                      <w:sz w:val="21"/>
                      <w:szCs w:val="21"/>
                    </w:rPr>
                  </w:pPr>
                </w:p>
              </w:tc>
              <w:tc>
                <w:tcPr>
                  <w:tcW w:w="878" w:type="dxa"/>
                  <w:vMerge w:val="restart"/>
                  <w:noWrap w:val="0"/>
                  <w:vAlign w:val="center"/>
                </w:tcPr>
                <w:p>
                  <w:pPr>
                    <w:spacing w:line="240" w:lineRule="auto"/>
                    <w:jc w:val="center"/>
                    <w:rPr>
                      <w:rFonts w:hint="eastAsia" w:ascii="宋体" w:hAnsi="宋体"/>
                      <w:sz w:val="21"/>
                      <w:szCs w:val="21"/>
                    </w:rPr>
                  </w:pPr>
                  <w:r>
                    <w:rPr>
                      <w:rFonts w:hint="eastAsia" w:ascii="宋体" w:hAnsi="宋体"/>
                      <w:sz w:val="21"/>
                      <w:szCs w:val="21"/>
                    </w:rPr>
                    <w:t>环境</w:t>
                  </w: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固废处理达标排放</w:t>
                  </w:r>
                </w:p>
              </w:tc>
              <w:tc>
                <w:tcPr>
                  <w:tcW w:w="4227" w:type="dxa"/>
                  <w:noWrap w:val="0"/>
                  <w:vAlign w:val="center"/>
                </w:tcPr>
                <w:p>
                  <w:pPr>
                    <w:spacing w:line="240" w:lineRule="auto"/>
                    <w:jc w:val="center"/>
                    <w:rPr>
                      <w:rFonts w:hint="eastAsia" w:ascii="宋体" w:hAnsi="宋体"/>
                      <w:b/>
                      <w:bCs/>
                      <w:sz w:val="21"/>
                      <w:szCs w:val="21"/>
                    </w:rPr>
                  </w:pPr>
                  <w:r>
                    <w:rPr>
                      <w:rFonts w:hint="eastAsia" w:ascii="宋体" w:hAnsi="宋体"/>
                      <w:sz w:val="21"/>
                      <w:szCs w:val="21"/>
                    </w:rPr>
                    <w:t>固体废弃物和危废处理率达100%，</w:t>
                  </w:r>
                </w:p>
              </w:tc>
              <w:tc>
                <w:tcPr>
                  <w:tcW w:w="667" w:type="dxa"/>
                  <w:noWrap w:val="0"/>
                  <w:vAlign w:val="center"/>
                </w:tcPr>
                <w:p>
                  <w:pPr>
                    <w:spacing w:line="240" w:lineRule="auto"/>
                    <w:jc w:val="center"/>
                    <w:rPr>
                      <w:rFonts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455" w:type="dxa"/>
                  <w:vMerge w:val="continue"/>
                  <w:noWrap w:val="0"/>
                  <w:vAlign w:val="center"/>
                </w:tcPr>
                <w:p>
                  <w:pPr>
                    <w:spacing w:line="240" w:lineRule="auto"/>
                    <w:jc w:val="center"/>
                    <w:rPr>
                      <w:rFonts w:hint="eastAsia" w:ascii="宋体" w:hAnsi="宋体"/>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噪声、废气达标排放</w:t>
                  </w:r>
                </w:p>
              </w:tc>
              <w:tc>
                <w:tcPr>
                  <w:tcW w:w="4227" w:type="dxa"/>
                  <w:noWrap w:val="0"/>
                  <w:vAlign w:val="center"/>
                </w:tcPr>
                <w:p>
                  <w:pPr>
                    <w:spacing w:line="240" w:lineRule="auto"/>
                    <w:jc w:val="center"/>
                    <w:rPr>
                      <w:rFonts w:ascii="宋体" w:hAnsi="宋体"/>
                      <w:sz w:val="21"/>
                      <w:szCs w:val="21"/>
                    </w:rPr>
                  </w:pPr>
                  <w:r>
                    <w:rPr>
                      <w:rFonts w:hint="eastAsia" w:ascii="宋体" w:hAnsi="宋体"/>
                      <w:sz w:val="21"/>
                      <w:szCs w:val="21"/>
                    </w:rPr>
                    <w:t>合格排放率100%</w:t>
                  </w:r>
                </w:p>
              </w:tc>
              <w:tc>
                <w:tcPr>
                  <w:tcW w:w="667" w:type="dxa"/>
                  <w:noWrap w:val="0"/>
                  <w:vAlign w:val="center"/>
                </w:tcPr>
                <w:p>
                  <w:pPr>
                    <w:spacing w:line="240" w:lineRule="auto"/>
                    <w:jc w:val="center"/>
                    <w:rPr>
                      <w:rFonts w:ascii="宋体" w:hAnsi="宋体"/>
                      <w:sz w:val="21"/>
                      <w:szCs w:val="21"/>
                    </w:rPr>
                  </w:pPr>
                  <w:r>
                    <w:rPr>
                      <w:rFonts w:hint="eastAsia" w:ascii="宋体" w:hAnsi="宋体"/>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455" w:type="dxa"/>
                  <w:vMerge w:val="continue"/>
                  <w:noWrap w:val="0"/>
                  <w:vAlign w:val="center"/>
                </w:tcPr>
                <w:p>
                  <w:pPr>
                    <w:spacing w:line="240" w:lineRule="auto"/>
                    <w:jc w:val="center"/>
                    <w:rPr>
                      <w:rFonts w:hint="eastAsia" w:ascii="宋体" w:hAnsi="宋体"/>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ascii="宋体" w:hAnsi="宋体"/>
                      <w:sz w:val="21"/>
                      <w:szCs w:val="21"/>
                    </w:rPr>
                  </w:pPr>
                  <w:r>
                    <w:rPr>
                      <w:rFonts w:hint="eastAsia" w:ascii="宋体" w:hAnsi="宋体"/>
                      <w:sz w:val="21"/>
                      <w:szCs w:val="21"/>
                    </w:rPr>
                    <w:t>杜绝火灾事故</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火灾事故发生率为0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restart"/>
                  <w:noWrap w:val="0"/>
                  <w:vAlign w:val="center"/>
                </w:tcPr>
                <w:p>
                  <w:pPr>
                    <w:spacing w:line="240" w:lineRule="auto"/>
                    <w:jc w:val="center"/>
                    <w:rPr>
                      <w:rFonts w:hint="eastAsia" w:ascii="宋体" w:hAnsi="宋体"/>
                      <w:b/>
                      <w:bCs/>
                      <w:sz w:val="21"/>
                      <w:szCs w:val="21"/>
                    </w:rPr>
                  </w:pPr>
                  <w:r>
                    <w:rPr>
                      <w:rFonts w:hint="eastAsia" w:ascii="宋体" w:hAnsi="宋体"/>
                      <w:sz w:val="21"/>
                      <w:szCs w:val="21"/>
                    </w:rPr>
                    <w:t>职业健康安全</w:t>
                  </w:r>
                </w:p>
              </w:tc>
              <w:tc>
                <w:tcPr>
                  <w:tcW w:w="4595" w:type="dxa"/>
                  <w:noWrap w:val="0"/>
                  <w:vAlign w:val="center"/>
                </w:tcPr>
                <w:p>
                  <w:pPr>
                    <w:spacing w:line="240" w:lineRule="auto"/>
                    <w:jc w:val="left"/>
                    <w:rPr>
                      <w:rFonts w:hint="eastAsia" w:ascii="宋体" w:hAnsi="宋体"/>
                      <w:b/>
                      <w:bCs/>
                      <w:sz w:val="21"/>
                      <w:szCs w:val="21"/>
                    </w:rPr>
                  </w:pPr>
                  <w:r>
                    <w:rPr>
                      <w:rFonts w:hint="eastAsia" w:ascii="宋体" w:hAnsi="宋体"/>
                      <w:sz w:val="21"/>
                      <w:szCs w:val="21"/>
                    </w:rPr>
                    <w:t>杜绝重大工伤事故</w:t>
                  </w:r>
                </w:p>
              </w:tc>
              <w:tc>
                <w:tcPr>
                  <w:tcW w:w="4227" w:type="dxa"/>
                  <w:noWrap w:val="0"/>
                  <w:vAlign w:val="center"/>
                </w:tcPr>
                <w:p>
                  <w:pPr>
                    <w:spacing w:line="240" w:lineRule="auto"/>
                    <w:jc w:val="center"/>
                    <w:rPr>
                      <w:rFonts w:hint="eastAsia" w:ascii="宋体" w:hAnsi="宋体"/>
                      <w:b/>
                      <w:bCs/>
                      <w:sz w:val="21"/>
                      <w:szCs w:val="21"/>
                    </w:rPr>
                  </w:pPr>
                  <w:r>
                    <w:rPr>
                      <w:rFonts w:hint="eastAsia" w:ascii="宋体" w:hAnsi="宋体"/>
                      <w:sz w:val="21"/>
                      <w:szCs w:val="21"/>
                    </w:rPr>
                    <w:t>重大安全事故为0</w:t>
                  </w:r>
                </w:p>
              </w:tc>
              <w:tc>
                <w:tcPr>
                  <w:tcW w:w="667" w:type="dxa"/>
                  <w:noWrap w:val="0"/>
                  <w:vAlign w:val="center"/>
                </w:tcPr>
                <w:p>
                  <w:pPr>
                    <w:spacing w:line="240" w:lineRule="auto"/>
                    <w:jc w:val="center"/>
                    <w:rPr>
                      <w:rFonts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杜绝火灾事故</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火灾事故发生率为0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restart"/>
                  <w:noWrap w:val="0"/>
                  <w:vAlign w:val="center"/>
                </w:tcPr>
                <w:p>
                  <w:pPr>
                    <w:spacing w:line="240" w:lineRule="auto"/>
                    <w:jc w:val="center"/>
                    <w:rPr>
                      <w:rFonts w:ascii="宋体" w:hAnsi="宋体"/>
                      <w:b/>
                      <w:bCs/>
                      <w:sz w:val="21"/>
                      <w:szCs w:val="21"/>
                    </w:rPr>
                  </w:pPr>
                  <w:r>
                    <w:rPr>
                      <w:rFonts w:hint="eastAsia" w:ascii="宋体" w:hAnsi="宋体"/>
                      <w:b/>
                      <w:bCs/>
                      <w:sz w:val="21"/>
                      <w:szCs w:val="21"/>
                    </w:rPr>
                    <w:t>综合部</w:t>
                  </w:r>
                </w:p>
              </w:tc>
              <w:tc>
                <w:tcPr>
                  <w:tcW w:w="878" w:type="dxa"/>
                  <w:vMerge w:val="restart"/>
                  <w:noWrap w:val="0"/>
                  <w:vAlign w:val="center"/>
                </w:tcPr>
                <w:p>
                  <w:pPr>
                    <w:spacing w:line="240" w:lineRule="auto"/>
                    <w:jc w:val="center"/>
                    <w:rPr>
                      <w:rFonts w:hint="eastAsia" w:ascii="宋体" w:hAnsi="宋体"/>
                      <w:sz w:val="21"/>
                      <w:szCs w:val="21"/>
                    </w:rPr>
                  </w:pPr>
                  <w:r>
                    <w:rPr>
                      <w:rFonts w:hint="eastAsia" w:ascii="宋体" w:hAnsi="宋体"/>
                      <w:sz w:val="21"/>
                      <w:szCs w:val="21"/>
                    </w:rPr>
                    <w:t>质量</w:t>
                  </w:r>
                </w:p>
              </w:tc>
              <w:tc>
                <w:tcPr>
                  <w:tcW w:w="4595" w:type="dxa"/>
                  <w:noWrap w:val="0"/>
                  <w:vAlign w:val="center"/>
                </w:tcPr>
                <w:p>
                  <w:pPr>
                    <w:spacing w:line="240" w:lineRule="auto"/>
                    <w:jc w:val="left"/>
                    <w:rPr>
                      <w:rFonts w:hint="eastAsia" w:ascii="宋体" w:hAnsi="宋体"/>
                      <w:sz w:val="21"/>
                      <w:szCs w:val="21"/>
                    </w:rPr>
                  </w:pPr>
                  <w:r>
                    <w:rPr>
                      <w:rFonts w:ascii="宋体" w:hAnsi="宋体"/>
                      <w:sz w:val="21"/>
                      <w:szCs w:val="21"/>
                    </w:rPr>
                    <w:t>内外部文件资料收集完整率及保存完好率≥9</w:t>
                  </w:r>
                  <w:r>
                    <w:rPr>
                      <w:rFonts w:hint="eastAsia" w:ascii="宋体" w:hAnsi="宋体"/>
                      <w:sz w:val="21"/>
                      <w:szCs w:val="21"/>
                    </w:rPr>
                    <w:t>9</w:t>
                  </w:r>
                  <w:r>
                    <w:rPr>
                      <w:rFonts w:ascii="宋体" w:hAnsi="宋体"/>
                      <w:sz w:val="21"/>
                      <w:szCs w:val="21"/>
                    </w:rPr>
                    <w:t>%</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（完好文件数/总文件数）*100%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岗位人员培训普及率100%，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（培训人数/总人数）*100%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员工培训评估、考核合格率≥99%</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（合格人数/总培训人数）*100%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sz w:val="21"/>
                      <w:szCs w:val="21"/>
                    </w:rPr>
                  </w:pPr>
                  <w:r>
                    <w:rPr>
                      <w:rFonts w:hint="eastAsia" w:ascii="宋体" w:hAnsi="宋体"/>
                      <w:sz w:val="21"/>
                      <w:szCs w:val="21"/>
                    </w:rPr>
                    <w:t>采购计划准时完成率≥99%</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（准时完成采购计划数/采购计划总数）*100%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restart"/>
                  <w:noWrap w:val="0"/>
                  <w:vAlign w:val="center"/>
                </w:tcPr>
                <w:p>
                  <w:pPr>
                    <w:spacing w:line="240" w:lineRule="auto"/>
                    <w:jc w:val="center"/>
                    <w:rPr>
                      <w:rFonts w:hint="eastAsia" w:ascii="宋体" w:hAnsi="宋体"/>
                      <w:sz w:val="21"/>
                      <w:szCs w:val="21"/>
                    </w:rPr>
                  </w:pPr>
                  <w:r>
                    <w:rPr>
                      <w:rFonts w:hint="eastAsia" w:ascii="宋体" w:hAnsi="宋体"/>
                      <w:sz w:val="21"/>
                      <w:szCs w:val="21"/>
                    </w:rPr>
                    <w:t>环境</w:t>
                  </w:r>
                </w:p>
              </w:tc>
              <w:tc>
                <w:tcPr>
                  <w:tcW w:w="4595" w:type="dxa"/>
                  <w:noWrap w:val="0"/>
                  <w:vAlign w:val="center"/>
                </w:tcPr>
                <w:p>
                  <w:pPr>
                    <w:spacing w:line="240" w:lineRule="auto"/>
                    <w:jc w:val="left"/>
                    <w:rPr>
                      <w:rFonts w:hint="eastAsia" w:ascii="宋体" w:hAnsi="宋体"/>
                      <w:sz w:val="21"/>
                      <w:szCs w:val="21"/>
                    </w:rPr>
                  </w:pPr>
                  <w:r>
                    <w:rPr>
                      <w:rFonts w:hint="eastAsia"/>
                      <w:sz w:val="21"/>
                      <w:szCs w:val="21"/>
                    </w:rPr>
                    <w:t>本部门固体废弃物集中处理率</w:t>
                  </w:r>
                  <w:r>
                    <w:rPr>
                      <w:rFonts w:hint="eastAsia" w:ascii="宋体" w:hAnsi="宋体"/>
                      <w:sz w:val="21"/>
                      <w:szCs w:val="21"/>
                    </w:rPr>
                    <w:t>达</w:t>
                  </w:r>
                  <w:r>
                    <w:rPr>
                      <w:rFonts w:ascii="宋体" w:hAnsi="宋体"/>
                      <w:sz w:val="21"/>
                      <w:szCs w:val="21"/>
                    </w:rPr>
                    <w:t>100%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（统一处理固废次数/固废处理总数）*100%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sz w:val="21"/>
                      <w:szCs w:val="21"/>
                    </w:rPr>
                  </w:pPr>
                  <w:r>
                    <w:rPr>
                      <w:rFonts w:hint="eastAsia" w:ascii="宋体" w:hAnsi="宋体" w:cs="宋体"/>
                      <w:kern w:val="0"/>
                      <w:sz w:val="21"/>
                      <w:szCs w:val="21"/>
                    </w:rPr>
                    <w:t>建立供方档案，对供方环保宣传率</w:t>
                  </w:r>
                  <w:r>
                    <w:rPr>
                      <w:rFonts w:hint="eastAsia" w:ascii="宋体" w:hAnsi="宋体"/>
                      <w:sz w:val="21"/>
                      <w:szCs w:val="21"/>
                    </w:rPr>
                    <w:t>≥99%</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（宣传通知供方数/总供方数）*100%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rPr>
                      <w:rFonts w:hint="eastAsia" w:ascii="宋体" w:hAnsi="宋体" w:cs="宋体"/>
                      <w:kern w:val="0"/>
                      <w:sz w:val="21"/>
                      <w:szCs w:val="21"/>
                    </w:rPr>
                  </w:pPr>
                  <w:r>
                    <w:rPr>
                      <w:rFonts w:hint="eastAsia" w:ascii="宋体" w:hAnsi="宋体" w:cs="宋体"/>
                      <w:kern w:val="0"/>
                      <w:sz w:val="21"/>
                      <w:szCs w:val="21"/>
                    </w:rPr>
                    <w:t>环保账目出错为0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实际发生数</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restart"/>
                  <w:noWrap w:val="0"/>
                  <w:vAlign w:val="center"/>
                </w:tcPr>
                <w:p>
                  <w:pPr>
                    <w:spacing w:line="240" w:lineRule="auto"/>
                    <w:jc w:val="center"/>
                    <w:rPr>
                      <w:rFonts w:hint="eastAsia" w:ascii="宋体" w:hAnsi="宋体"/>
                      <w:sz w:val="21"/>
                      <w:szCs w:val="21"/>
                    </w:rPr>
                  </w:pPr>
                  <w:r>
                    <w:rPr>
                      <w:rFonts w:hint="eastAsia" w:ascii="宋体" w:hAnsi="宋体"/>
                      <w:sz w:val="21"/>
                      <w:szCs w:val="21"/>
                    </w:rPr>
                    <w:t>职业健康安全</w:t>
                  </w:r>
                </w:p>
              </w:tc>
              <w:tc>
                <w:tcPr>
                  <w:tcW w:w="4595" w:type="dxa"/>
                  <w:noWrap w:val="0"/>
                  <w:vAlign w:val="center"/>
                </w:tcPr>
                <w:p>
                  <w:pPr>
                    <w:spacing w:line="240" w:lineRule="auto"/>
                    <w:jc w:val="left"/>
                    <w:rPr>
                      <w:rFonts w:hint="eastAsia" w:ascii="宋体" w:hAnsi="宋体"/>
                      <w:sz w:val="21"/>
                      <w:szCs w:val="21"/>
                    </w:rPr>
                  </w:pPr>
                  <w:r>
                    <w:rPr>
                      <w:rFonts w:hint="eastAsia" w:ascii="宋体" w:hAnsi="宋体"/>
                      <w:bCs/>
                      <w:sz w:val="21"/>
                      <w:szCs w:val="21"/>
                    </w:rPr>
                    <w:t>意外伤害事故发生为0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实际发生数</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rPr>
                      <w:rFonts w:hint="eastAsia" w:ascii="宋体" w:hAnsi="宋体"/>
                      <w:bCs/>
                      <w:sz w:val="21"/>
                      <w:szCs w:val="21"/>
                    </w:rPr>
                  </w:pPr>
                  <w:r>
                    <w:rPr>
                      <w:rFonts w:hint="eastAsia" w:ascii="宋体" w:hAnsi="宋体" w:cs="宋体"/>
                      <w:kern w:val="0"/>
                      <w:sz w:val="21"/>
                      <w:szCs w:val="21"/>
                    </w:rPr>
                    <w:t>职业健康安全账目出错为0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实际发生数</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210"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bCs/>
                      <w:sz w:val="21"/>
                      <w:szCs w:val="21"/>
                    </w:rPr>
                  </w:pPr>
                  <w:r>
                    <w:rPr>
                      <w:rFonts w:hint="eastAsia" w:ascii="宋体" w:hAnsi="宋体" w:cs="宋体"/>
                      <w:kern w:val="0"/>
                      <w:sz w:val="21"/>
                      <w:szCs w:val="21"/>
                    </w:rPr>
                    <w:t>对供方及运输方职业健康安全宣传率</w:t>
                  </w:r>
                  <w:r>
                    <w:rPr>
                      <w:rFonts w:hint="eastAsia" w:ascii="宋体" w:hAnsi="宋体"/>
                      <w:sz w:val="21"/>
                      <w:szCs w:val="21"/>
                    </w:rPr>
                    <w:t>≥99%</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（宣传通知供方数/总供方数）*100%</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24" w:hRule="atLeast"/>
              </w:trPr>
              <w:tc>
                <w:tcPr>
                  <w:tcW w:w="455" w:type="dxa"/>
                  <w:vMerge w:val="continue"/>
                  <w:noWrap w:val="0"/>
                  <w:vAlign w:val="center"/>
                </w:tcPr>
                <w:p>
                  <w:pPr>
                    <w:spacing w:line="240" w:lineRule="auto"/>
                    <w:jc w:val="center"/>
                    <w:rPr>
                      <w:rFonts w:hint="eastAsia" w:ascii="宋体" w:hAnsi="宋体"/>
                      <w:b/>
                      <w:bCs/>
                      <w:sz w:val="21"/>
                      <w:szCs w:val="21"/>
                    </w:rPr>
                  </w:pPr>
                </w:p>
              </w:tc>
              <w:tc>
                <w:tcPr>
                  <w:tcW w:w="878" w:type="dxa"/>
                  <w:vMerge w:val="continue"/>
                  <w:noWrap w:val="0"/>
                  <w:vAlign w:val="center"/>
                </w:tcPr>
                <w:p>
                  <w:pPr>
                    <w:spacing w:line="240" w:lineRule="auto"/>
                    <w:jc w:val="center"/>
                    <w:rPr>
                      <w:rFonts w:hint="eastAsia" w:ascii="宋体" w:hAnsi="宋体"/>
                      <w:sz w:val="21"/>
                      <w:szCs w:val="21"/>
                    </w:rPr>
                  </w:pPr>
                </w:p>
              </w:tc>
              <w:tc>
                <w:tcPr>
                  <w:tcW w:w="4595" w:type="dxa"/>
                  <w:noWrap w:val="0"/>
                  <w:vAlign w:val="center"/>
                </w:tcPr>
                <w:p>
                  <w:pPr>
                    <w:spacing w:line="240" w:lineRule="auto"/>
                    <w:jc w:val="left"/>
                    <w:rPr>
                      <w:rFonts w:hint="eastAsia" w:ascii="宋体" w:hAnsi="宋体" w:cs="宋体"/>
                      <w:kern w:val="0"/>
                      <w:sz w:val="21"/>
                      <w:szCs w:val="21"/>
                    </w:rPr>
                  </w:pPr>
                  <w:r>
                    <w:rPr>
                      <w:rFonts w:hint="eastAsia" w:ascii="宋体" w:hAnsi="宋体"/>
                      <w:bCs/>
                      <w:sz w:val="21"/>
                      <w:szCs w:val="21"/>
                    </w:rPr>
                    <w:t>火灾事故发生率为0</w:t>
                  </w:r>
                </w:p>
              </w:tc>
              <w:tc>
                <w:tcPr>
                  <w:tcW w:w="422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实际发生数</w:t>
                  </w:r>
                </w:p>
              </w:tc>
              <w:tc>
                <w:tcPr>
                  <w:tcW w:w="667" w:type="dxa"/>
                  <w:noWrap w:val="0"/>
                  <w:vAlign w:val="center"/>
                </w:tcPr>
                <w:p>
                  <w:pPr>
                    <w:spacing w:line="240" w:lineRule="auto"/>
                    <w:jc w:val="center"/>
                    <w:rPr>
                      <w:rFonts w:hint="eastAsia" w:ascii="宋体" w:hAnsi="宋体"/>
                      <w:sz w:val="21"/>
                      <w:szCs w:val="21"/>
                    </w:rPr>
                  </w:pPr>
                  <w:r>
                    <w:rPr>
                      <w:rFonts w:hint="eastAsia" w:ascii="宋体" w:hAnsi="宋体"/>
                      <w:sz w:val="21"/>
                      <w:szCs w:val="21"/>
                    </w:rPr>
                    <w:t>季</w:t>
                  </w:r>
                </w:p>
              </w:tc>
            </w:tr>
          </w:tbl>
          <w:p>
            <w:pPr>
              <w:pStyle w:val="2"/>
              <w:spacing w:line="240" w:lineRule="auto"/>
              <w:rPr>
                <w:rFonts w:hint="default" w:ascii="宋体" w:hAnsi="宋体" w:cs="宋体"/>
                <w:kern w:val="0"/>
                <w:sz w:val="21"/>
                <w:szCs w:val="21"/>
                <w:lang w:val="en-US" w:eastAsia="zh-CN"/>
              </w:rPr>
            </w:pPr>
          </w:p>
          <w:p>
            <w:pPr>
              <w:pStyle w:val="2"/>
              <w:spacing w:line="240" w:lineRule="auto"/>
              <w:rPr>
                <w:rFonts w:hint="eastAsia" w:ascii="宋体" w:hAnsi="宋体" w:cs="宋体"/>
                <w:kern w:val="0"/>
                <w:sz w:val="21"/>
                <w:szCs w:val="21"/>
                <w:highlight w:val="none"/>
                <w:lang w:val="en-US" w:eastAsia="zh-CN"/>
              </w:rPr>
            </w:pPr>
            <w:r>
              <w:rPr>
                <w:rFonts w:hint="eastAsia" w:ascii="宋体" w:hAnsi="宋体" w:cs="宋体"/>
                <w:kern w:val="0"/>
                <w:sz w:val="21"/>
                <w:szCs w:val="21"/>
                <w:highlight w:val="none"/>
                <w:lang w:val="en-US" w:eastAsia="zh-CN"/>
              </w:rPr>
              <w:t>跟踪核查“（2021-2022年度）目标、指标完成情况监控记录”，21年Q4至22年Q1目标均已达成。</w:t>
            </w:r>
          </w:p>
          <w:p>
            <w:pPr>
              <w:pStyle w:val="14"/>
              <w:spacing w:line="240" w:lineRule="auto"/>
              <w:rPr>
                <w:rFonts w:hint="eastAsia" w:ascii="宋体" w:hAnsi="宋体"/>
                <w:sz w:val="21"/>
                <w:szCs w:val="21"/>
                <w:lang w:val="en-US" w:eastAsia="zh-CN"/>
              </w:rPr>
            </w:pPr>
            <w:r>
              <w:rPr>
                <w:rFonts w:hint="eastAsia"/>
                <w:sz w:val="21"/>
                <w:szCs w:val="21"/>
                <w:lang w:val="en-US" w:eastAsia="zh-CN"/>
              </w:rPr>
              <w:t>查“环境目标指标管理方案”， 编制：李艳玲；日期：2021.10.15；内容策划有环境因素、目标、指标、 控制措施、责任部门、资金预算、起止日期、完成情况、监督检查人员。管控的环境因素有</w:t>
            </w:r>
            <w:r>
              <w:rPr>
                <w:rFonts w:hint="eastAsia" w:ascii="宋体" w:hAnsi="宋体" w:cs="宋体"/>
                <w:color w:val="000000"/>
                <w:kern w:val="0"/>
                <w:sz w:val="21"/>
                <w:szCs w:val="21"/>
                <w:lang w:bidi="ar"/>
              </w:rPr>
              <w:t>固废排放</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噪声排放</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废气排放</w:t>
            </w:r>
            <w:r>
              <w:rPr>
                <w:rFonts w:hint="eastAsia" w:ascii="宋体" w:hAnsi="宋体" w:cs="宋体"/>
                <w:color w:val="000000"/>
                <w:kern w:val="0"/>
                <w:sz w:val="21"/>
                <w:szCs w:val="21"/>
                <w:lang w:eastAsia="zh-CN" w:bidi="ar"/>
              </w:rPr>
              <w:t>、</w:t>
            </w:r>
            <w:r>
              <w:rPr>
                <w:rFonts w:hint="eastAsia" w:ascii="宋体" w:hAnsi="宋体"/>
                <w:sz w:val="21"/>
                <w:szCs w:val="21"/>
              </w:rPr>
              <w:t>火灾事故</w:t>
            </w:r>
            <w:r>
              <w:rPr>
                <w:rFonts w:hint="eastAsia" w:ascii="宋体" w:hAnsi="宋体"/>
                <w:sz w:val="21"/>
                <w:szCs w:val="21"/>
                <w:lang w:eastAsia="zh-CN"/>
              </w:rPr>
              <w:t>。</w:t>
            </w:r>
            <w:r>
              <w:rPr>
                <w:rFonts w:hint="eastAsia" w:ascii="宋体" w:hAnsi="宋体"/>
                <w:sz w:val="21"/>
                <w:szCs w:val="21"/>
                <w:lang w:val="en-US" w:eastAsia="zh-CN"/>
              </w:rPr>
              <w:t>抽：</w:t>
            </w:r>
          </w:p>
          <w:p>
            <w:pPr>
              <w:pStyle w:val="14"/>
              <w:spacing w:line="240" w:lineRule="auto"/>
              <w:rPr>
                <w:rFonts w:hint="eastAsia" w:ascii="宋体" w:hAnsi="宋体" w:cs="宋体"/>
                <w:color w:val="000000"/>
                <w:kern w:val="0"/>
                <w:sz w:val="21"/>
                <w:szCs w:val="21"/>
                <w:lang w:eastAsia="zh-CN" w:bidi="ar"/>
              </w:rPr>
            </w:pPr>
            <w:r>
              <w:rPr>
                <w:rFonts w:hint="eastAsia" w:ascii="宋体" w:hAnsi="宋体" w:cs="宋体"/>
                <w:color w:val="000000"/>
                <w:kern w:val="0"/>
                <w:sz w:val="21"/>
                <w:szCs w:val="21"/>
                <w:lang w:bidi="ar"/>
              </w:rPr>
              <w:t>固废排放</w:t>
            </w:r>
            <w:r>
              <w:rPr>
                <w:rFonts w:hint="eastAsia" w:ascii="宋体" w:hAnsi="宋体" w:cs="宋体"/>
                <w:color w:val="000000"/>
                <w:kern w:val="0"/>
                <w:sz w:val="21"/>
                <w:szCs w:val="21"/>
                <w:lang w:eastAsia="zh-CN" w:bidi="ar"/>
              </w:rPr>
              <w:t>；</w:t>
            </w:r>
          </w:p>
          <w:p>
            <w:pPr>
              <w:pStyle w:val="14"/>
              <w:spacing w:line="240" w:lineRule="auto"/>
              <w:rPr>
                <w:rFonts w:hint="eastAsia" w:ascii="宋体" w:hAnsi="宋体"/>
                <w:sz w:val="21"/>
                <w:szCs w:val="21"/>
                <w:lang w:eastAsia="zh-CN"/>
              </w:rPr>
            </w:pPr>
            <w:r>
              <w:rPr>
                <w:rFonts w:hint="eastAsia" w:ascii="宋体" w:hAnsi="宋体" w:cs="宋体"/>
                <w:color w:val="000000"/>
                <w:kern w:val="0"/>
                <w:sz w:val="21"/>
                <w:szCs w:val="21"/>
                <w:lang w:val="en-US" w:eastAsia="zh-CN" w:bidi="ar"/>
              </w:rPr>
              <w:t>目标、指标：</w:t>
            </w:r>
            <w:r>
              <w:rPr>
                <w:rFonts w:hint="eastAsia" w:ascii="宋体" w:hAnsi="宋体"/>
                <w:sz w:val="21"/>
                <w:szCs w:val="21"/>
              </w:rPr>
              <w:t>减少固废产生，各种固废集中收集，分类合理化处置</w:t>
            </w:r>
            <w:r>
              <w:rPr>
                <w:rFonts w:hint="eastAsia" w:ascii="宋体" w:hAnsi="宋体"/>
                <w:sz w:val="21"/>
                <w:szCs w:val="21"/>
                <w:lang w:eastAsia="zh-CN"/>
              </w:rPr>
              <w:t>；</w:t>
            </w:r>
            <w:r>
              <w:rPr>
                <w:rFonts w:hint="eastAsia" w:ascii="宋体" w:hAnsi="宋体"/>
                <w:sz w:val="21"/>
                <w:szCs w:val="21"/>
              </w:rPr>
              <w:t>固废合理处置率100%</w:t>
            </w:r>
            <w:r>
              <w:rPr>
                <w:rFonts w:hint="eastAsia" w:ascii="宋体" w:hAnsi="宋体"/>
                <w:sz w:val="21"/>
                <w:szCs w:val="21"/>
                <w:lang w:eastAsia="zh-CN"/>
              </w:rPr>
              <w:t>；</w:t>
            </w:r>
          </w:p>
          <w:p>
            <w:pPr>
              <w:pStyle w:val="14"/>
              <w:spacing w:line="240" w:lineRule="auto"/>
              <w:rPr>
                <w:rFonts w:hint="eastAsia" w:ascii="宋体" w:hAnsi="宋体"/>
                <w:sz w:val="21"/>
                <w:szCs w:val="21"/>
                <w:lang w:val="en-US" w:eastAsia="zh-CN"/>
              </w:rPr>
            </w:pPr>
            <w:r>
              <w:rPr>
                <w:rFonts w:hint="eastAsia" w:ascii="宋体" w:hAnsi="宋体"/>
                <w:sz w:val="21"/>
                <w:szCs w:val="21"/>
              </w:rPr>
              <w:t>控制措施</w:t>
            </w:r>
            <w:r>
              <w:rPr>
                <w:rFonts w:hint="eastAsia" w:ascii="宋体" w:hAnsi="宋体"/>
                <w:sz w:val="21"/>
                <w:szCs w:val="21"/>
                <w:lang w:eastAsia="zh-CN"/>
              </w:rPr>
              <w:t>：</w:t>
            </w:r>
          </w:p>
          <w:p>
            <w:pPr>
              <w:numPr>
                <w:ilvl w:val="0"/>
                <w:numId w:val="1"/>
              </w:numPr>
              <w:spacing w:line="240" w:lineRule="auto"/>
              <w:rPr>
                <w:rFonts w:hint="eastAsia" w:ascii="宋体" w:hAnsi="宋体"/>
                <w:sz w:val="21"/>
                <w:szCs w:val="21"/>
              </w:rPr>
            </w:pPr>
            <w:r>
              <w:rPr>
                <w:rFonts w:hint="eastAsia" w:ascii="宋体" w:hAnsi="宋体"/>
                <w:sz w:val="21"/>
                <w:szCs w:val="21"/>
              </w:rPr>
              <w:t>固废定点暂存，集中清运，固体废弃物分类放置区，可回收和不可回收的固体废弃物分类堆放，按分类标准加以划分。</w:t>
            </w:r>
          </w:p>
          <w:p>
            <w:pPr>
              <w:numPr>
                <w:ilvl w:val="0"/>
                <w:numId w:val="1"/>
              </w:numPr>
              <w:spacing w:line="240" w:lineRule="auto"/>
              <w:rPr>
                <w:rFonts w:hint="eastAsia" w:ascii="宋体" w:hAnsi="宋体"/>
                <w:sz w:val="21"/>
                <w:szCs w:val="21"/>
              </w:rPr>
            </w:pPr>
            <w:r>
              <w:rPr>
                <w:rFonts w:hint="eastAsia" w:ascii="宋体" w:hAnsi="宋体"/>
                <w:sz w:val="21"/>
                <w:szCs w:val="21"/>
              </w:rPr>
              <w:t>委托有关单位定期及时清运各类固废。</w:t>
            </w:r>
          </w:p>
          <w:p>
            <w:pPr>
              <w:pStyle w:val="2"/>
              <w:spacing w:line="240" w:lineRule="auto"/>
              <w:rPr>
                <w:rFonts w:hint="default" w:ascii="宋体" w:hAnsi="宋体" w:cs="宋体"/>
                <w:kern w:val="0"/>
                <w:sz w:val="21"/>
                <w:szCs w:val="21"/>
                <w:highlight w:val="none"/>
                <w:lang w:val="en-US" w:eastAsia="zh-CN"/>
              </w:rPr>
            </w:pPr>
            <w:r>
              <w:rPr>
                <w:rFonts w:hint="eastAsia" w:ascii="宋体" w:hAnsi="宋体"/>
                <w:sz w:val="21"/>
                <w:szCs w:val="21"/>
              </w:rPr>
              <w:t>进行培训，加强使用和操作管理，减少固废产生</w:t>
            </w:r>
          </w:p>
          <w:p>
            <w:pPr>
              <w:pStyle w:val="2"/>
              <w:spacing w:line="240" w:lineRule="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完成情况：</w:t>
            </w:r>
          </w:p>
          <w:p>
            <w:pPr>
              <w:pStyle w:val="2"/>
              <w:spacing w:line="240" w:lineRule="auto"/>
              <w:rPr>
                <w:rFonts w:hint="eastAsia" w:ascii="宋体" w:hAnsi="宋体"/>
                <w:sz w:val="21"/>
                <w:szCs w:val="21"/>
                <w:lang w:eastAsia="zh-CN"/>
              </w:rPr>
            </w:pPr>
            <w:r>
              <w:rPr>
                <w:rFonts w:hint="eastAsia" w:ascii="宋体" w:hAnsi="宋体"/>
                <w:sz w:val="21"/>
                <w:szCs w:val="21"/>
              </w:rPr>
              <w:t>设置固废分类存放区，一般固废由环卫统一处理，废墨盒等由供应商回收、危险废物交有资质单位处理</w:t>
            </w:r>
            <w:r>
              <w:rPr>
                <w:rFonts w:hint="eastAsia" w:ascii="宋体" w:hAnsi="宋体"/>
                <w:sz w:val="21"/>
                <w:szCs w:val="21"/>
                <w:lang w:eastAsia="zh-CN"/>
              </w:rPr>
              <w:t>。</w:t>
            </w:r>
          </w:p>
          <w:p>
            <w:pPr>
              <w:pStyle w:val="14"/>
              <w:spacing w:line="240" w:lineRule="auto"/>
              <w:rPr>
                <w:rFonts w:hint="eastAsia" w:ascii="宋体" w:hAnsi="宋体"/>
                <w:sz w:val="21"/>
                <w:szCs w:val="21"/>
                <w:lang w:val="en-US" w:eastAsia="zh-CN"/>
              </w:rPr>
            </w:pPr>
            <w:r>
              <w:rPr>
                <w:rFonts w:hint="eastAsia"/>
                <w:sz w:val="21"/>
                <w:szCs w:val="21"/>
                <w:lang w:val="en-US" w:eastAsia="zh-CN"/>
              </w:rPr>
              <w:t>查“职业健康安全目标指标管理方案”， 编制：闫丹丹；日期：2021.10.15；内容策划有危害因素、目标、指标、控制措施、责任部门、资金预算、起止日期、完成情况、监督检查人员。管控的</w:t>
            </w:r>
            <w:r>
              <w:rPr>
                <w:rFonts w:hint="eastAsia"/>
                <w:sz w:val="21"/>
                <w:szCs w:val="21"/>
              </w:rPr>
              <w:t>危害因素</w:t>
            </w:r>
            <w:r>
              <w:rPr>
                <w:rFonts w:hint="eastAsia"/>
                <w:sz w:val="21"/>
                <w:szCs w:val="21"/>
                <w:lang w:val="en-US" w:eastAsia="zh-CN"/>
              </w:rPr>
              <w:t>有</w:t>
            </w:r>
            <w:r>
              <w:rPr>
                <w:rFonts w:hint="eastAsia" w:ascii="宋体" w:hAnsi="宋体" w:cs="宋体"/>
                <w:color w:val="000000"/>
                <w:kern w:val="0"/>
                <w:sz w:val="21"/>
                <w:szCs w:val="21"/>
                <w:lang w:bidi="ar"/>
              </w:rPr>
              <w:t>火灾</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触电事故</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机械伤害</w:t>
            </w:r>
            <w:r>
              <w:rPr>
                <w:rFonts w:hint="eastAsia" w:ascii="宋体" w:hAnsi="宋体"/>
                <w:sz w:val="21"/>
                <w:szCs w:val="21"/>
                <w:lang w:eastAsia="zh-CN"/>
              </w:rPr>
              <w:t>。</w:t>
            </w:r>
            <w:r>
              <w:rPr>
                <w:rFonts w:hint="eastAsia" w:ascii="宋体" w:hAnsi="宋体"/>
                <w:sz w:val="21"/>
                <w:szCs w:val="21"/>
                <w:lang w:val="en-US" w:eastAsia="zh-CN"/>
              </w:rPr>
              <w:t>抽：</w:t>
            </w:r>
          </w:p>
          <w:p>
            <w:pPr>
              <w:pStyle w:val="2"/>
              <w:spacing w:line="240" w:lineRule="auto"/>
              <w:rPr>
                <w:rFonts w:hint="eastAsia" w:ascii="宋体" w:hAnsi="宋体" w:eastAsia="宋体"/>
                <w:sz w:val="21"/>
                <w:szCs w:val="21"/>
                <w:lang w:val="en-US" w:eastAsia="zh-CN"/>
              </w:rPr>
            </w:pPr>
            <w:r>
              <w:rPr>
                <w:rFonts w:hint="eastAsia" w:ascii="宋体" w:hAnsi="宋体" w:cs="宋体"/>
                <w:color w:val="000000"/>
                <w:kern w:val="0"/>
                <w:sz w:val="21"/>
                <w:szCs w:val="21"/>
                <w:lang w:bidi="ar"/>
              </w:rPr>
              <w:t>火灾</w:t>
            </w:r>
            <w:r>
              <w:rPr>
                <w:rFonts w:hint="eastAsia" w:ascii="宋体" w:hAnsi="宋体" w:cs="宋体"/>
                <w:color w:val="000000"/>
                <w:kern w:val="0"/>
                <w:sz w:val="21"/>
                <w:szCs w:val="21"/>
                <w:lang w:eastAsia="zh-CN" w:bidi="ar"/>
              </w:rPr>
              <w:t>：</w:t>
            </w:r>
          </w:p>
          <w:p>
            <w:pPr>
              <w:pStyle w:val="2"/>
              <w:spacing w:line="240" w:lineRule="auto"/>
              <w:rPr>
                <w:rFonts w:hint="eastAsia" w:ascii="宋体" w:hAnsi="宋体"/>
                <w:sz w:val="21"/>
                <w:szCs w:val="21"/>
                <w:lang w:eastAsia="zh-CN"/>
              </w:rPr>
            </w:pPr>
            <w:r>
              <w:rPr>
                <w:rFonts w:hint="eastAsia" w:ascii="宋体" w:hAnsi="宋体" w:cs="宋体"/>
                <w:color w:val="000000"/>
                <w:kern w:val="0"/>
                <w:sz w:val="21"/>
                <w:szCs w:val="21"/>
                <w:lang w:val="en-US" w:eastAsia="zh-CN" w:bidi="ar"/>
              </w:rPr>
              <w:t>目标、指标：</w:t>
            </w:r>
            <w:r>
              <w:rPr>
                <w:rFonts w:hint="eastAsia" w:ascii="宋体" w:hAnsi="宋体"/>
                <w:sz w:val="21"/>
                <w:szCs w:val="21"/>
              </w:rPr>
              <w:t>杜绝火灾事故</w:t>
            </w:r>
            <w:r>
              <w:rPr>
                <w:rFonts w:hint="eastAsia" w:ascii="宋体" w:hAnsi="宋体"/>
                <w:sz w:val="21"/>
                <w:szCs w:val="21"/>
                <w:lang w:eastAsia="zh-CN"/>
              </w:rPr>
              <w:t>，</w:t>
            </w:r>
            <w:r>
              <w:rPr>
                <w:rFonts w:hint="eastAsia" w:ascii="宋体" w:hAnsi="宋体"/>
                <w:sz w:val="21"/>
                <w:szCs w:val="21"/>
              </w:rPr>
              <w:t>火灾事故发生率为0</w:t>
            </w:r>
            <w:r>
              <w:rPr>
                <w:rFonts w:hint="eastAsia" w:ascii="宋体" w:hAnsi="宋体"/>
                <w:sz w:val="21"/>
                <w:szCs w:val="21"/>
                <w:lang w:eastAsia="zh-CN"/>
              </w:rPr>
              <w:t>。</w:t>
            </w:r>
          </w:p>
          <w:p>
            <w:pPr>
              <w:pStyle w:val="2"/>
              <w:spacing w:line="240" w:lineRule="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控制措施：</w:t>
            </w:r>
          </w:p>
          <w:p>
            <w:pPr>
              <w:numPr>
                <w:ilvl w:val="0"/>
                <w:numId w:val="2"/>
              </w:numPr>
              <w:spacing w:line="240" w:lineRule="auto"/>
              <w:rPr>
                <w:rFonts w:hint="eastAsia" w:ascii="宋体" w:hAnsi="宋体"/>
                <w:sz w:val="21"/>
                <w:szCs w:val="21"/>
              </w:rPr>
            </w:pPr>
            <w:r>
              <w:rPr>
                <w:rFonts w:hint="eastAsia" w:ascii="宋体" w:hAnsi="宋体"/>
                <w:sz w:val="21"/>
                <w:szCs w:val="21"/>
              </w:rPr>
              <w:t>加强日常巡视；</w:t>
            </w:r>
          </w:p>
          <w:p>
            <w:pPr>
              <w:numPr>
                <w:ilvl w:val="0"/>
                <w:numId w:val="2"/>
              </w:numPr>
              <w:spacing w:line="240" w:lineRule="auto"/>
              <w:rPr>
                <w:rFonts w:hint="eastAsia" w:ascii="宋体" w:hAnsi="宋体"/>
                <w:sz w:val="21"/>
                <w:szCs w:val="21"/>
              </w:rPr>
            </w:pPr>
            <w:r>
              <w:rPr>
                <w:rFonts w:hint="eastAsia" w:ascii="宋体" w:hAnsi="宋体"/>
                <w:sz w:val="21"/>
                <w:szCs w:val="21"/>
              </w:rPr>
              <w:t>加强设备设施检查管理；</w:t>
            </w:r>
          </w:p>
          <w:p>
            <w:pPr>
              <w:numPr>
                <w:ilvl w:val="0"/>
                <w:numId w:val="2"/>
              </w:numPr>
              <w:spacing w:line="240" w:lineRule="auto"/>
              <w:rPr>
                <w:rFonts w:hint="eastAsia" w:ascii="宋体" w:hAnsi="宋体"/>
                <w:sz w:val="21"/>
                <w:szCs w:val="21"/>
              </w:rPr>
            </w:pPr>
            <w:r>
              <w:rPr>
                <w:rFonts w:hint="eastAsia" w:ascii="宋体" w:hAnsi="宋体"/>
                <w:sz w:val="21"/>
                <w:szCs w:val="21"/>
              </w:rPr>
              <w:t>现场如有动火必须严格按动火手续办理证件，并采取有效防范措施；</w:t>
            </w:r>
          </w:p>
          <w:p>
            <w:pPr>
              <w:pStyle w:val="2"/>
              <w:spacing w:line="240" w:lineRule="auto"/>
              <w:rPr>
                <w:rFonts w:hint="eastAsia" w:ascii="宋体" w:hAnsi="宋体"/>
                <w:sz w:val="21"/>
                <w:szCs w:val="21"/>
              </w:rPr>
            </w:pPr>
            <w:r>
              <w:rPr>
                <w:rFonts w:hint="eastAsia" w:ascii="宋体" w:hAnsi="宋体"/>
                <w:sz w:val="21"/>
                <w:szCs w:val="21"/>
              </w:rPr>
              <w:t>进行消防专队训练，并组织消防演练。</w:t>
            </w:r>
          </w:p>
          <w:p>
            <w:pPr>
              <w:pStyle w:val="2"/>
              <w:spacing w:line="240" w:lineRule="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完成情况：</w:t>
            </w:r>
          </w:p>
          <w:p>
            <w:pPr>
              <w:pStyle w:val="2"/>
              <w:spacing w:line="240" w:lineRule="auto"/>
              <w:rPr>
                <w:rFonts w:hint="eastAsia" w:ascii="宋体" w:hAnsi="宋体"/>
                <w:sz w:val="21"/>
                <w:szCs w:val="21"/>
                <w:lang w:eastAsia="zh-CN"/>
              </w:rPr>
            </w:pPr>
            <w:r>
              <w:rPr>
                <w:rFonts w:hint="eastAsia" w:ascii="宋体" w:hAnsi="宋体"/>
                <w:sz w:val="21"/>
                <w:szCs w:val="21"/>
              </w:rPr>
              <w:t>对消防设施进行定期维护检查，组织进行了消防演练</w:t>
            </w:r>
            <w:r>
              <w:rPr>
                <w:rFonts w:hint="eastAsia" w:ascii="宋体" w:hAnsi="宋体"/>
                <w:sz w:val="21"/>
                <w:szCs w:val="21"/>
                <w:lang w:eastAsia="zh-CN"/>
              </w:rPr>
              <w:t>。</w:t>
            </w:r>
          </w:p>
          <w:p>
            <w:pPr>
              <w:pStyle w:val="2"/>
              <w:spacing w:line="240" w:lineRule="auto"/>
              <w:rPr>
                <w:rFonts w:hint="eastAsia" w:ascii="宋体" w:hAnsi="宋体"/>
                <w:color w:val="FF0000"/>
                <w:sz w:val="21"/>
                <w:szCs w:val="21"/>
                <w:lang w:val="en-US" w:eastAsia="zh-CN"/>
              </w:rPr>
            </w:pPr>
            <w:r>
              <w:rPr>
                <w:rFonts w:hint="eastAsia" w:ascii="宋体" w:hAnsi="宋体"/>
                <w:color w:val="FF0000"/>
                <w:sz w:val="21"/>
                <w:szCs w:val="21"/>
                <w:lang w:val="en-US" w:eastAsia="zh-CN"/>
              </w:rPr>
              <w:t>问题点：管控的危害因素火灾、触电事故、机械伤害是风险，引起事故的能量、物质、行为是危害因素，与负责人口头交流，负责人承诺后期安排相关培训。</w:t>
            </w:r>
          </w:p>
          <w:p>
            <w:pPr>
              <w:pStyle w:val="2"/>
              <w:spacing w:line="240" w:lineRule="auto"/>
              <w:rPr>
                <w:rFonts w:hint="default" w:ascii="宋体" w:hAnsi="宋体"/>
                <w:sz w:val="21"/>
                <w:szCs w:val="21"/>
                <w:lang w:val="en-US" w:eastAsia="zh-CN"/>
              </w:rPr>
            </w:pPr>
            <w:r>
              <w:rPr>
                <w:rFonts w:hint="eastAsia" w:ascii="宋体" w:hAnsi="宋体"/>
                <w:sz w:val="21"/>
                <w:szCs w:val="21"/>
                <w:lang w:val="en-US" w:eastAsia="zh-CN"/>
              </w:rPr>
              <w:t>——目标管理有效。</w:t>
            </w:r>
          </w:p>
          <w:p>
            <w:pPr>
              <w:pStyle w:val="2"/>
              <w:spacing w:line="240" w:lineRule="auto"/>
              <w:rPr>
                <w:rFonts w:hint="eastAsia" w:ascii="宋体" w:hAnsi="宋体"/>
                <w:sz w:val="21"/>
                <w:szCs w:val="21"/>
                <w:lang w:val="en-US" w:eastAsia="zh-CN"/>
              </w:rPr>
            </w:pPr>
          </w:p>
          <w:p>
            <w:pPr>
              <w:pStyle w:val="2"/>
              <w:spacing w:line="240" w:lineRule="auto"/>
              <w:rPr>
                <w:rFonts w:hint="default" w:ascii="宋体" w:hAnsi="宋体" w:cs="宋体"/>
                <w:kern w:val="0"/>
                <w:sz w:val="21"/>
                <w:szCs w:val="21"/>
                <w:lang w:val="en-US" w:eastAsia="zh-CN"/>
              </w:rPr>
            </w:pP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环境因素、危险源、职业健康安全风险和机遇的识别评价</w:t>
            </w:r>
          </w:p>
        </w:tc>
        <w:tc>
          <w:tcPr>
            <w:tcW w:w="326" w:type="pct"/>
            <w:vAlign w:val="center"/>
          </w:tcPr>
          <w:p>
            <w:pPr>
              <w:spacing w:line="240" w:lineRule="auto"/>
              <w:rPr>
                <w:rFonts w:hint="default" w:eastAsia="宋体"/>
                <w:sz w:val="21"/>
                <w:szCs w:val="21"/>
                <w:lang w:val="en-US" w:eastAsia="zh-CN"/>
              </w:rPr>
            </w:pPr>
            <w:r>
              <w:rPr>
                <w:rFonts w:hint="eastAsia"/>
                <w:sz w:val="21"/>
                <w:szCs w:val="21"/>
                <w:lang w:val="en-US" w:eastAsia="zh-CN"/>
              </w:rPr>
              <w:t>ES6.1.2</w:t>
            </w:r>
          </w:p>
        </w:tc>
        <w:tc>
          <w:tcPr>
            <w:tcW w:w="3402" w:type="pct"/>
            <w:vAlign w:val="center"/>
          </w:tcPr>
          <w:p>
            <w:pPr>
              <w:pStyle w:val="2"/>
              <w:spacing w:line="240" w:lineRule="auto"/>
              <w:rPr>
                <w:rFonts w:hint="default"/>
                <w:sz w:val="21"/>
                <w:szCs w:val="21"/>
                <w:lang w:val="en-US" w:eastAsia="zh-CN"/>
              </w:rPr>
            </w:pPr>
            <w:r>
              <w:rPr>
                <w:rFonts w:hint="eastAsia"/>
                <w:sz w:val="21"/>
                <w:szCs w:val="21"/>
                <w:lang w:val="en-US" w:eastAsia="zh-CN"/>
              </w:rPr>
              <w:t>---策划有《</w:t>
            </w:r>
            <w:r>
              <w:rPr>
                <w:rFonts w:hint="eastAsia" w:ascii="宋体" w:hAnsi="宋体"/>
                <w:color w:val="000000"/>
                <w:sz w:val="21"/>
                <w:szCs w:val="21"/>
              </w:rPr>
              <w:t>环境因素识别与评价控制程序</w:t>
            </w:r>
            <w:r>
              <w:rPr>
                <w:rFonts w:hint="eastAsia" w:ascii="宋体" w:hAnsi="宋体"/>
                <w:color w:val="000000"/>
                <w:sz w:val="21"/>
                <w:szCs w:val="21"/>
                <w:lang w:eastAsia="zh-CN"/>
              </w:rPr>
              <w:t>》、《</w:t>
            </w:r>
            <w:r>
              <w:rPr>
                <w:rFonts w:hint="eastAsia"/>
                <w:sz w:val="21"/>
                <w:szCs w:val="21"/>
                <w:lang w:val="en-US" w:eastAsia="zh-CN"/>
              </w:rPr>
              <w:t>危险源的识别及风险和机遇评价控制程序》、《风险和机遇应对控制程序》等作业程序和“风险管理计划”、“环境目标指标管理方案”、“安全目标指标管理方案”“风险和机遇评估分析表”、“各部门环境因素识别评价”、“重要环境因素清单”、“危险源辨识评价表”“不可接受风险清单”等作业文件及记录。</w:t>
            </w:r>
          </w:p>
          <w:p>
            <w:pPr>
              <w:pStyle w:val="2"/>
              <w:spacing w:line="240" w:lineRule="auto"/>
              <w:rPr>
                <w:rFonts w:hint="default"/>
                <w:sz w:val="21"/>
                <w:szCs w:val="21"/>
                <w:lang w:val="en-US" w:eastAsia="zh-CN"/>
              </w:rPr>
            </w:pPr>
            <w:r>
              <w:rPr>
                <w:rFonts w:hint="eastAsia"/>
                <w:sz w:val="21"/>
                <w:szCs w:val="21"/>
                <w:lang w:val="en-US" w:eastAsia="zh-CN"/>
              </w:rPr>
              <w:t>查：“各部门环境因素识别评价”以经验分析法按职能部门及生产经营全过程的各种活动共识别水、气、声、光、废、危废等各种环境因素共86项，识别基本充分并制定有相应的管理措施。涉及本部门的主要有生活废水的排放、办公废弃物的排放、水电消耗等。</w:t>
            </w:r>
          </w:p>
          <w:p>
            <w:pPr>
              <w:pStyle w:val="2"/>
              <w:spacing w:line="240" w:lineRule="auto"/>
              <w:rPr>
                <w:rFonts w:hint="eastAsia"/>
                <w:sz w:val="21"/>
                <w:szCs w:val="21"/>
                <w:lang w:val="en-US" w:eastAsia="zh-CN"/>
              </w:rPr>
            </w:pPr>
            <w:r>
              <w:rPr>
                <w:rFonts w:hint="eastAsia"/>
                <w:sz w:val="21"/>
                <w:szCs w:val="21"/>
                <w:lang w:val="en-US" w:eastAsia="zh-CN"/>
              </w:rPr>
              <w:t>跟踪核查“重要环境因素清单”：</w:t>
            </w:r>
          </w:p>
          <w:p>
            <w:pPr>
              <w:pStyle w:val="2"/>
              <w:spacing w:line="240" w:lineRule="auto"/>
              <w:rPr>
                <w:rFonts w:hint="eastAsia"/>
                <w:sz w:val="21"/>
                <w:szCs w:val="21"/>
                <w:lang w:val="en-US" w:eastAsia="zh-CN"/>
              </w:rPr>
            </w:pPr>
            <w:r>
              <w:rPr>
                <w:rFonts w:hint="default"/>
                <w:sz w:val="21"/>
                <w:szCs w:val="21"/>
                <w:lang w:val="en-US" w:eastAsia="zh-CN"/>
              </w:rPr>
              <w:t>重要环境因素</w:t>
            </w:r>
            <w:r>
              <w:rPr>
                <w:rFonts w:hint="eastAsia"/>
                <w:sz w:val="21"/>
                <w:szCs w:val="21"/>
                <w:lang w:val="en-US" w:eastAsia="zh-CN"/>
              </w:rPr>
              <w:t>：固体废弃物排放；电源线路老化、漏电或其他原因导致潜在火灾的发生；噪声的排放；废气的排放；</w:t>
            </w:r>
          </w:p>
          <w:p>
            <w:pPr>
              <w:pStyle w:val="2"/>
              <w:spacing w:line="240" w:lineRule="auto"/>
              <w:rPr>
                <w:rFonts w:hint="default"/>
                <w:sz w:val="21"/>
                <w:szCs w:val="21"/>
                <w:lang w:val="en-US" w:eastAsia="zh-CN"/>
              </w:rPr>
            </w:pPr>
            <w:r>
              <w:rPr>
                <w:rFonts w:hint="default"/>
                <w:sz w:val="21"/>
                <w:szCs w:val="21"/>
                <w:lang w:val="en-US" w:eastAsia="zh-CN"/>
              </w:rPr>
              <w:t>控制措施</w:t>
            </w:r>
            <w:r>
              <w:rPr>
                <w:rFonts w:hint="eastAsia"/>
                <w:sz w:val="21"/>
                <w:szCs w:val="21"/>
                <w:lang w:val="en-US" w:eastAsia="zh-CN"/>
              </w:rPr>
              <w:t>：《废弃物管理办法》、《火灾应急预案》、《环境和职业健康安全运行控制程序》、《环境和职业健康安全运行控制程序》及管理方案。</w:t>
            </w:r>
          </w:p>
          <w:p>
            <w:pPr>
              <w:pStyle w:val="2"/>
              <w:spacing w:line="240" w:lineRule="auto"/>
              <w:rPr>
                <w:rFonts w:hint="default"/>
                <w:sz w:val="21"/>
                <w:szCs w:val="21"/>
                <w:lang w:val="en-US" w:eastAsia="zh-CN"/>
              </w:rPr>
            </w:pPr>
            <w:r>
              <w:rPr>
                <w:rFonts w:hint="eastAsia"/>
                <w:sz w:val="21"/>
                <w:szCs w:val="21"/>
                <w:lang w:val="en-US" w:eastAsia="zh-CN"/>
              </w:rPr>
              <w:t>查：“危险源辨识评价表”按职能部门及生产经营全过程的各种活动共识别危险源116项，包含炎热高温；用电设置不合理、电源线路、插座老化；消防器材失效等等。涉及本部门的危险源主要有用电设置不合理导致的触电造成人身伤亡、引发火灾；电脑的辐射导致的人身职业健康伤害；上下楼不小心导致的楼梯事故，造成人员伤害等；以LEC定量评价法进行评价并制订有相应的控制措施。</w:t>
            </w:r>
          </w:p>
          <w:p>
            <w:pPr>
              <w:pStyle w:val="2"/>
              <w:spacing w:line="240" w:lineRule="auto"/>
              <w:rPr>
                <w:rFonts w:hint="eastAsia"/>
                <w:sz w:val="21"/>
                <w:szCs w:val="21"/>
                <w:lang w:val="en-US" w:eastAsia="zh-CN"/>
              </w:rPr>
            </w:pPr>
            <w:r>
              <w:rPr>
                <w:rFonts w:hint="eastAsia"/>
                <w:sz w:val="21"/>
                <w:szCs w:val="21"/>
                <w:lang w:val="en-US" w:eastAsia="zh-CN"/>
              </w:rPr>
              <w:t>跟踪核查“不可接受风险清单”：</w:t>
            </w:r>
          </w:p>
          <w:p>
            <w:pPr>
              <w:pStyle w:val="2"/>
              <w:spacing w:line="240" w:lineRule="auto"/>
              <w:rPr>
                <w:rFonts w:hint="eastAsia"/>
                <w:sz w:val="21"/>
                <w:szCs w:val="21"/>
                <w:lang w:val="en-US" w:eastAsia="zh-CN"/>
              </w:rPr>
            </w:pPr>
            <w:r>
              <w:rPr>
                <w:rFonts w:hint="eastAsia"/>
                <w:sz w:val="21"/>
                <w:szCs w:val="21"/>
                <w:lang w:val="en-US" w:eastAsia="zh-CN"/>
              </w:rPr>
              <w:t>风险、危险源：</w:t>
            </w:r>
          </w:p>
          <w:p>
            <w:pPr>
              <w:pStyle w:val="2"/>
              <w:numPr>
                <w:ilvl w:val="0"/>
                <w:numId w:val="3"/>
              </w:numPr>
              <w:spacing w:line="240" w:lineRule="auto"/>
              <w:rPr>
                <w:rFonts w:hint="eastAsia"/>
                <w:sz w:val="21"/>
                <w:szCs w:val="21"/>
                <w:lang w:val="en-US" w:eastAsia="zh-CN"/>
              </w:rPr>
            </w:pPr>
            <w:r>
              <w:rPr>
                <w:rFonts w:hint="eastAsia"/>
                <w:sz w:val="21"/>
                <w:szCs w:val="21"/>
                <w:lang w:val="en-US" w:eastAsia="zh-CN"/>
              </w:rPr>
              <w:t>线路老化、开关损坏、短路等电气走火，场所用火不慎，人员操作不当/潜在火灾、爆炸；</w:t>
            </w:r>
          </w:p>
          <w:p>
            <w:pPr>
              <w:pStyle w:val="2"/>
              <w:numPr>
                <w:ilvl w:val="0"/>
                <w:numId w:val="3"/>
              </w:numPr>
              <w:spacing w:line="240" w:lineRule="auto"/>
              <w:rPr>
                <w:rFonts w:hint="default"/>
                <w:sz w:val="21"/>
                <w:szCs w:val="21"/>
                <w:lang w:val="en-US" w:eastAsia="zh-CN"/>
              </w:rPr>
            </w:pPr>
            <w:r>
              <w:rPr>
                <w:rFonts w:hint="default"/>
                <w:sz w:val="21"/>
                <w:szCs w:val="21"/>
                <w:lang w:val="en-US" w:eastAsia="zh-CN"/>
              </w:rPr>
              <w:t>生产过程</w:t>
            </w:r>
            <w:r>
              <w:rPr>
                <w:rFonts w:hint="eastAsia"/>
                <w:sz w:val="21"/>
                <w:szCs w:val="21"/>
                <w:lang w:val="en-US" w:eastAsia="zh-CN"/>
              </w:rPr>
              <w:t>/机械伤害；</w:t>
            </w:r>
          </w:p>
          <w:p>
            <w:pPr>
              <w:pStyle w:val="2"/>
              <w:numPr>
                <w:ilvl w:val="0"/>
                <w:numId w:val="3"/>
              </w:numPr>
              <w:spacing w:line="240" w:lineRule="auto"/>
              <w:rPr>
                <w:rFonts w:hint="default"/>
                <w:sz w:val="21"/>
                <w:szCs w:val="21"/>
                <w:lang w:val="en-US" w:eastAsia="zh-CN"/>
              </w:rPr>
            </w:pPr>
            <w:r>
              <w:rPr>
                <w:rFonts w:hint="default"/>
                <w:sz w:val="21"/>
                <w:szCs w:val="21"/>
                <w:lang w:val="en-US" w:eastAsia="zh-CN"/>
              </w:rPr>
              <w:t>办公、生产过程</w:t>
            </w:r>
            <w:r>
              <w:rPr>
                <w:rFonts w:hint="eastAsia"/>
                <w:sz w:val="21"/>
                <w:szCs w:val="21"/>
                <w:lang w:val="en-US" w:eastAsia="zh-CN"/>
              </w:rPr>
              <w:t>/触电伤害；</w:t>
            </w:r>
          </w:p>
          <w:p>
            <w:pPr>
              <w:pStyle w:val="2"/>
              <w:numPr>
                <w:ilvl w:val="0"/>
                <w:numId w:val="3"/>
              </w:numPr>
              <w:spacing w:line="240" w:lineRule="auto"/>
              <w:rPr>
                <w:rFonts w:hint="default"/>
                <w:sz w:val="21"/>
                <w:szCs w:val="21"/>
                <w:lang w:val="en-US" w:eastAsia="zh-CN"/>
              </w:rPr>
            </w:pPr>
            <w:r>
              <w:rPr>
                <w:rFonts w:hint="default"/>
                <w:sz w:val="21"/>
                <w:szCs w:val="21"/>
                <w:lang w:val="en-US" w:eastAsia="zh-CN"/>
              </w:rPr>
              <w:t>生产过程</w:t>
            </w:r>
            <w:r>
              <w:rPr>
                <w:rFonts w:hint="eastAsia"/>
                <w:sz w:val="21"/>
                <w:szCs w:val="21"/>
                <w:lang w:val="en-US" w:eastAsia="zh-CN"/>
              </w:rPr>
              <w:t>/噪声伤害；</w:t>
            </w:r>
          </w:p>
          <w:p>
            <w:pPr>
              <w:pStyle w:val="2"/>
              <w:numPr>
                <w:ilvl w:val="0"/>
                <w:numId w:val="0"/>
              </w:numPr>
              <w:spacing w:line="240" w:lineRule="auto"/>
              <w:rPr>
                <w:rFonts w:hint="eastAsia"/>
                <w:sz w:val="21"/>
                <w:szCs w:val="21"/>
                <w:lang w:val="en-US" w:eastAsia="zh-CN"/>
              </w:rPr>
            </w:pPr>
            <w:r>
              <w:rPr>
                <w:rFonts w:hint="eastAsia"/>
                <w:sz w:val="21"/>
                <w:szCs w:val="21"/>
                <w:lang w:val="en-US" w:eastAsia="zh-CN"/>
              </w:rPr>
              <w:t>措施：配备灭火设备和消防栓，制定制度及培训，定期检查、定期演练；定期进行安全培训，定期检查设备实施线路及安全使用；定期进行安全培训，配备劳保用品。</w:t>
            </w:r>
          </w:p>
          <w:p>
            <w:pPr>
              <w:pStyle w:val="2"/>
              <w:numPr>
                <w:ilvl w:val="0"/>
                <w:numId w:val="0"/>
              </w:numPr>
              <w:spacing w:line="240" w:lineRule="auto"/>
              <w:rPr>
                <w:rFonts w:hint="default"/>
                <w:sz w:val="21"/>
                <w:szCs w:val="21"/>
                <w:lang w:val="en-US" w:eastAsia="zh-CN"/>
              </w:rPr>
            </w:pPr>
            <w:r>
              <w:rPr>
                <w:rFonts w:hint="eastAsia"/>
                <w:color w:val="auto"/>
                <w:sz w:val="21"/>
                <w:szCs w:val="21"/>
                <w:lang w:val="en-US" w:eastAsia="zh-CN"/>
              </w:rPr>
              <w:t>——策划基本符合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人员；能力；意识；</w:t>
            </w:r>
          </w:p>
        </w:tc>
        <w:tc>
          <w:tcPr>
            <w:tcW w:w="326" w:type="pct"/>
            <w:vAlign w:val="center"/>
          </w:tcPr>
          <w:p>
            <w:pPr>
              <w:spacing w:line="240" w:lineRule="auto"/>
              <w:rPr>
                <w:rFonts w:hint="default" w:eastAsia="宋体"/>
                <w:sz w:val="21"/>
                <w:szCs w:val="21"/>
                <w:lang w:val="en-US" w:eastAsia="zh-CN"/>
              </w:rPr>
            </w:pPr>
            <w:r>
              <w:rPr>
                <w:rFonts w:hint="eastAsia"/>
                <w:sz w:val="21"/>
                <w:szCs w:val="21"/>
                <w:lang w:val="en-US" w:eastAsia="zh-CN"/>
              </w:rPr>
              <w:t>Q7.1.2、QES7.2、7.3</w:t>
            </w:r>
          </w:p>
        </w:tc>
        <w:tc>
          <w:tcPr>
            <w:tcW w:w="3402" w:type="pct"/>
            <w:vAlign w:val="center"/>
          </w:tcPr>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---策划有《人力资源控制程序》，确定各岗位人员所必备的质量、环境及职业健康安全的能力要求。本部门为主控部门。</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---查“岗位任职要求”，主要有公司经理、管理者代表、综合部主任、生产部主任等的岗位职责和任职要求。</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抽采购/销售工作人员：</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（1）工作认真负责，有高度的责任心，身体健康、精力充沛；</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（2）年龄35岁以下；</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（3）有丰富的至少二年以上的工作经验；</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......等。</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-查员工名录：提供有“冠恒科技员工信息表”，包含有部门经理、技术服务工程师、维修工等共25人。——与认证审核申请人数一致。</w:t>
            </w:r>
          </w:p>
          <w:p>
            <w:pPr>
              <w:pStyle w:val="2"/>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---提供有员工劳动合同及2022.4.的社保缴纳记录。</w:t>
            </w:r>
          </w:p>
          <w:p>
            <w:pP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---抽持证上岗人员：包含井控、HSE、焊工、电工。抽查：</w:t>
            </w:r>
          </w:p>
          <w:p>
            <w:pPr>
              <w:numPr>
                <w:ilvl w:val="0"/>
                <w:numId w:val="4"/>
              </w:numPr>
              <w:rPr>
                <w:rFonts w:hint="eastAsia"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聂伟</w:t>
            </w:r>
            <w:r>
              <w:rPr>
                <w:rFonts w:hint="eastAsia" w:cs="Times New Roman"/>
                <w:kern w:val="2"/>
                <w:sz w:val="21"/>
                <w:szCs w:val="21"/>
                <w:lang w:val="en-US" w:eastAsia="zh-CN" w:bidi="ar-SA"/>
              </w:rPr>
              <w:t>；焊接与热切割作业；</w:t>
            </w:r>
            <w:bookmarkStart w:id="4" w:name="OLE_LINK1"/>
            <w:r>
              <w:rPr>
                <w:rFonts w:hint="eastAsia" w:cs="Times New Roman"/>
                <w:kern w:val="2"/>
                <w:sz w:val="21"/>
                <w:szCs w:val="21"/>
                <w:lang w:val="en-US" w:eastAsia="zh-CN" w:bidi="ar-SA"/>
              </w:rPr>
              <w:t>编号：</w:t>
            </w:r>
            <w:bookmarkEnd w:id="4"/>
            <w:r>
              <w:rPr>
                <w:rFonts w:hint="eastAsia" w:cs="Times New Roman"/>
                <w:kern w:val="2"/>
                <w:sz w:val="21"/>
                <w:szCs w:val="21"/>
                <w:lang w:val="en-US" w:eastAsia="zh-CN" w:bidi="ar-SA"/>
              </w:rPr>
              <w:t>T220322198804464791；有效期：2025.2.3.；</w:t>
            </w:r>
          </w:p>
          <w:p>
            <w:pPr>
              <w:pStyle w:val="2"/>
              <w:numPr>
                <w:ilvl w:val="0"/>
                <w:numId w:val="4"/>
              </w:numPr>
              <w:rPr>
                <w:rFonts w:hint="default"/>
                <w:lang w:val="en-US" w:eastAsia="zh-CN"/>
              </w:rPr>
            </w:pPr>
            <w:r>
              <w:rPr>
                <w:rFonts w:hint="eastAsia"/>
                <w:lang w:val="en-US" w:eastAsia="zh-CN"/>
              </w:rPr>
              <w:t>余兵；电工；</w:t>
            </w:r>
            <w:bookmarkStart w:id="5" w:name="OLE_LINK2"/>
            <w:r>
              <w:rPr>
                <w:rFonts w:hint="eastAsia" w:cs="Times New Roman"/>
                <w:kern w:val="2"/>
                <w:sz w:val="21"/>
                <w:szCs w:val="21"/>
                <w:lang w:val="en-US" w:eastAsia="zh-CN" w:bidi="ar-SA"/>
              </w:rPr>
              <w:t>编号：</w:t>
            </w:r>
            <w:bookmarkEnd w:id="5"/>
            <w:r>
              <w:rPr>
                <w:rFonts w:hint="eastAsia" w:cs="Times New Roman"/>
                <w:kern w:val="2"/>
                <w:sz w:val="21"/>
                <w:szCs w:val="21"/>
                <w:lang w:val="en-US" w:eastAsia="zh-CN" w:bidi="ar-SA"/>
              </w:rPr>
              <w:t>1030120000401830；新疆巴州劳动社会管理局；</w:t>
            </w:r>
          </w:p>
          <w:p>
            <w:pPr>
              <w:pStyle w:val="2"/>
              <w:numPr>
                <w:ilvl w:val="0"/>
                <w:numId w:val="4"/>
              </w:numPr>
              <w:rPr>
                <w:rFonts w:hint="default"/>
                <w:lang w:val="en-US" w:eastAsia="zh-CN"/>
              </w:rPr>
            </w:pPr>
            <w:bookmarkStart w:id="6" w:name="OLE_LINK3"/>
            <w:r>
              <w:rPr>
                <w:rFonts w:hint="eastAsia" w:cs="Times New Roman"/>
                <w:kern w:val="2"/>
                <w:sz w:val="21"/>
                <w:szCs w:val="21"/>
                <w:lang w:val="en-US" w:eastAsia="zh-CN" w:bidi="ar-SA"/>
              </w:rPr>
              <w:t>苗雨；井控；编号：E005520205577；有效期：2022.10.29.；</w:t>
            </w:r>
            <w:bookmarkEnd w:id="6"/>
            <w:r>
              <w:rPr>
                <w:rFonts w:hint="eastAsia" w:cs="Times New Roman"/>
                <w:kern w:val="2"/>
                <w:sz w:val="21"/>
                <w:szCs w:val="21"/>
                <w:lang w:val="en-US" w:eastAsia="zh-CN" w:bidi="ar-SA"/>
              </w:rPr>
              <w:t>华北井控培训中心</w:t>
            </w:r>
          </w:p>
          <w:p>
            <w:pPr>
              <w:pStyle w:val="2"/>
              <w:numPr>
                <w:ilvl w:val="0"/>
                <w:numId w:val="4"/>
              </w:numPr>
              <w:rPr>
                <w:rFonts w:hint="default"/>
                <w:lang w:val="en-US" w:eastAsia="zh-CN"/>
              </w:rPr>
            </w:pPr>
            <w:r>
              <w:rPr>
                <w:rFonts w:hint="eastAsia" w:cs="Times New Roman"/>
                <w:kern w:val="2"/>
                <w:sz w:val="21"/>
                <w:szCs w:val="21"/>
                <w:lang w:val="en-US" w:eastAsia="zh-CN" w:bidi="ar-SA"/>
              </w:rPr>
              <w:t>苗雨；HSE；编号：HSE20209221；有效期：2022.10.29.；华北井控培训中心</w:t>
            </w:r>
          </w:p>
          <w:p>
            <w:pPr>
              <w:pStyle w:val="2"/>
              <w:numPr>
                <w:ilvl w:val="0"/>
                <w:numId w:val="4"/>
              </w:numPr>
              <w:rPr>
                <w:rFonts w:hint="default"/>
                <w:lang w:val="en-US" w:eastAsia="zh-CN"/>
              </w:rPr>
            </w:pPr>
            <w:bookmarkStart w:id="7" w:name="OLE_LINK4"/>
            <w:r>
              <w:rPr>
                <w:rFonts w:hint="eastAsia" w:cs="Times New Roman"/>
                <w:kern w:val="2"/>
                <w:sz w:val="21"/>
                <w:szCs w:val="21"/>
                <w:lang w:val="en-US" w:eastAsia="zh-CN" w:bidi="ar-SA"/>
              </w:rPr>
              <w:t>张海通</w:t>
            </w:r>
            <w:bookmarkEnd w:id="7"/>
            <w:r>
              <w:rPr>
                <w:rFonts w:hint="eastAsia" w:cs="Times New Roman"/>
                <w:kern w:val="2"/>
                <w:sz w:val="21"/>
                <w:szCs w:val="21"/>
                <w:lang w:val="en-US" w:eastAsia="zh-CN" w:bidi="ar-SA"/>
              </w:rPr>
              <w:t>；井控；编号：E005520205581；有效期：2022.10.29.；华北井控培训中心</w:t>
            </w:r>
          </w:p>
          <w:p>
            <w:pPr>
              <w:pStyle w:val="2"/>
              <w:numPr>
                <w:ilvl w:val="0"/>
                <w:numId w:val="4"/>
              </w:numPr>
              <w:rPr>
                <w:rFonts w:hint="default"/>
                <w:lang w:val="en-US" w:eastAsia="zh-CN"/>
              </w:rPr>
            </w:pPr>
            <w:r>
              <w:rPr>
                <w:rFonts w:hint="eastAsia" w:cs="Times New Roman"/>
                <w:kern w:val="2"/>
                <w:sz w:val="21"/>
                <w:szCs w:val="21"/>
                <w:lang w:val="en-US" w:eastAsia="zh-CN" w:bidi="ar-SA"/>
              </w:rPr>
              <w:t>张海通；HSE；编号：HSE20209225；有效期：2022.10.29.；华北井控培训中心</w:t>
            </w:r>
          </w:p>
          <w:p>
            <w:pPr>
              <w:rPr>
                <w:rFonts w:hint="default"/>
                <w:lang w:val="en-US" w:eastAsia="zh-CN"/>
              </w:rPr>
            </w:pPr>
            <w:r>
              <w:rPr>
                <w:rFonts w:hint="eastAsia" w:ascii="Times New Roman" w:hAnsi="Times New Roman" w:eastAsia="宋体" w:cs="Times New Roman"/>
                <w:kern w:val="2"/>
                <w:sz w:val="21"/>
                <w:szCs w:val="21"/>
                <w:highlight w:val="none"/>
                <w:lang w:val="en-US" w:eastAsia="zh-CN" w:bidi="ar-SA"/>
              </w:rPr>
              <w:t>--查能力评价：提供有“岗位任职要求评价表”，评价人员主要有技术服务部经理、市场开发部经理、质检部经理等各部门负责人</w:t>
            </w:r>
            <w:r>
              <w:rPr>
                <w:rFonts w:hint="eastAsia" w:ascii="Times New Roman" w:hAnsi="Times New Roman" w:eastAsia="宋体" w:cs="Times New Roman"/>
                <w:kern w:val="2"/>
                <w:sz w:val="21"/>
                <w:szCs w:val="21"/>
                <w:lang w:val="en-US" w:eastAsia="zh-CN" w:bidi="ar-SA"/>
              </w:rPr>
              <w:t>及关键能力岗位员工；评价内容主要包括工作态度、年龄、工作经验、KPI达成、使用设备、工具的能力等。抽质检部经理洪雷，评价结果为符合要求、胜任。</w:t>
            </w:r>
          </w:p>
          <w:p>
            <w:pPr>
              <w:pStyle w:val="2"/>
              <w:rPr>
                <w:rFonts w:hint="eastAsia" w:ascii="宋体" w:hAnsi="宋体"/>
                <w:szCs w:val="21"/>
                <w:lang w:val="en-US" w:eastAsia="zh-CN"/>
              </w:rPr>
            </w:pPr>
            <w:r>
              <w:rPr>
                <w:rFonts w:hint="eastAsia" w:ascii="Times New Roman" w:hAnsi="Times New Roman" w:eastAsia="宋体" w:cs="Times New Roman"/>
                <w:kern w:val="2"/>
                <w:sz w:val="21"/>
                <w:szCs w:val="21"/>
                <w:highlight w:val="none"/>
                <w:lang w:val="en-US" w:eastAsia="zh-CN" w:bidi="ar-SA"/>
              </w:rPr>
              <w:t>---查2021-2022年“培训计划”，内容包括“QES标准培训”，“管理手册和程序文件，规章、管理制度及各部门文件控制与管理培训；岗位职责，人员培训”、“公司环境因素、危险源识别（包括重要环境因素、重大危险源）的培训，及重要环境因素和危险源控制措施的培训”、“</w:t>
            </w:r>
            <w:r>
              <w:rPr>
                <w:rFonts w:hint="eastAsia" w:ascii="宋体" w:hAnsi="宋体"/>
                <w:szCs w:val="21"/>
              </w:rPr>
              <w:t>QES内审员基本知识</w:t>
            </w:r>
            <w:r>
              <w:rPr>
                <w:rFonts w:hint="eastAsia" w:ascii="宋体" w:hAnsi="宋体"/>
                <w:szCs w:val="21"/>
                <w:lang w:eastAsia="zh-CN"/>
              </w:rPr>
              <w:t>”</w:t>
            </w:r>
            <w:r>
              <w:rPr>
                <w:rFonts w:hint="eastAsia" w:ascii="宋体" w:hAnsi="宋体"/>
                <w:szCs w:val="21"/>
                <w:lang w:val="en-US" w:eastAsia="zh-CN"/>
              </w:rPr>
              <w:t>等共10项培训。</w:t>
            </w:r>
          </w:p>
          <w:p>
            <w:pPr>
              <w:pStyle w:val="2"/>
              <w:rPr>
                <w:rFonts w:hint="eastAsia" w:ascii="宋体" w:hAnsi="宋体"/>
                <w:szCs w:val="21"/>
                <w:lang w:val="en-US" w:eastAsia="zh-CN"/>
              </w:rPr>
            </w:pPr>
            <w:r>
              <w:rPr>
                <w:rFonts w:hint="eastAsia" w:ascii="宋体" w:hAnsi="宋体"/>
                <w:szCs w:val="21"/>
                <w:lang w:val="en-US" w:eastAsia="zh-CN"/>
              </w:rPr>
              <w:t>跟踪核查其培训内容：</w:t>
            </w:r>
          </w:p>
          <w:p>
            <w:pPr>
              <w:pStyle w:val="2"/>
              <w:rPr>
                <w:rFonts w:hint="eastAsia" w:ascii="宋体" w:hAnsi="宋体" w:cs="宋体"/>
                <w:lang w:val="en-US" w:eastAsia="zh-CN"/>
              </w:rPr>
            </w:pPr>
            <w:r>
              <w:rPr>
                <w:rFonts w:hint="eastAsia" w:ascii="宋体" w:hAnsi="宋体"/>
                <w:szCs w:val="21"/>
                <w:lang w:val="en-US" w:eastAsia="zh-CN"/>
              </w:rPr>
              <w:t>1、</w:t>
            </w:r>
            <w:r>
              <w:rPr>
                <w:rFonts w:hint="eastAsia" w:ascii="宋体" w:hAnsi="宋体" w:cs="宋体"/>
                <w:lang w:val="en-US"/>
              </w:rPr>
              <w:t>2021.10.13</w:t>
            </w:r>
            <w:r>
              <w:rPr>
                <w:rFonts w:hint="eastAsia" w:ascii="宋体" w:hAnsi="宋体" w:cs="宋体"/>
                <w:lang w:val="en-US" w:eastAsia="zh-CN"/>
              </w:rPr>
              <w:t>.；QES标准培训；</w:t>
            </w:r>
            <w:r>
              <w:rPr>
                <w:rFonts w:hint="eastAsia" w:ascii="Arial" w:cs="Arial"/>
              </w:rPr>
              <w:t>参加人员</w:t>
            </w:r>
            <w:r>
              <w:rPr>
                <w:rFonts w:hint="eastAsia" w:ascii="Arial" w:cs="Arial"/>
                <w:lang w:eastAsia="zh-CN"/>
              </w:rPr>
              <w:t>：</w:t>
            </w:r>
            <w:r>
              <w:rPr>
                <w:rFonts w:hint="eastAsia" w:ascii="宋体" w:hAnsi="宋体" w:cs="宋体"/>
                <w:lang w:val="en-US" w:eastAsia="zh-CN"/>
              </w:rPr>
              <w:t>闫丹丹、李艳玲、姜微、洪雷、赵亚萍、赵鑫；</w:t>
            </w:r>
          </w:p>
          <w:p>
            <w:pPr>
              <w:pStyle w:val="2"/>
              <w:rPr>
                <w:rFonts w:hint="eastAsia" w:ascii="宋体" w:hAnsi="宋体" w:cs="宋体"/>
                <w:lang w:val="en-US" w:eastAsia="zh-CN"/>
              </w:rPr>
            </w:pPr>
            <w:r>
              <w:rPr>
                <w:rFonts w:hint="eastAsia" w:ascii="宋体" w:hAnsi="宋体" w:cs="宋体"/>
                <w:lang w:val="en-US" w:eastAsia="zh-CN"/>
              </w:rPr>
              <w:t>2、2021.12.26.；</w:t>
            </w:r>
            <w:r>
              <w:rPr>
                <w:rFonts w:hint="eastAsia" w:ascii="Arial" w:hAnsi="Arial" w:cs="Arial"/>
              </w:rPr>
              <w:t>内审知识培训</w:t>
            </w:r>
            <w:r>
              <w:rPr>
                <w:rFonts w:hint="eastAsia" w:ascii="Arial" w:hAnsi="Arial" w:cs="Arial"/>
                <w:lang w:eastAsia="zh-CN"/>
              </w:rPr>
              <w:t>；</w:t>
            </w:r>
            <w:r>
              <w:rPr>
                <w:rFonts w:hint="eastAsia" w:ascii="Arial" w:cs="Arial"/>
              </w:rPr>
              <w:t>参加人员</w:t>
            </w:r>
            <w:r>
              <w:rPr>
                <w:rFonts w:hint="eastAsia" w:ascii="Arial" w:cs="Arial"/>
                <w:lang w:eastAsia="zh-CN"/>
              </w:rPr>
              <w:t>：</w:t>
            </w:r>
            <w:r>
              <w:rPr>
                <w:rFonts w:hint="eastAsia" w:ascii="宋体" w:hAnsi="宋体" w:cs="宋体"/>
                <w:lang w:val="en-US" w:eastAsia="zh-CN"/>
              </w:rPr>
              <w:t>李艳玲、洪雷；</w:t>
            </w:r>
          </w:p>
          <w:p>
            <w:pPr>
              <w:pStyle w:val="2"/>
              <w:rPr>
                <w:rFonts w:hint="eastAsia" w:ascii="宋体" w:hAnsi="宋体" w:cs="宋体"/>
                <w:lang w:val="en-US" w:eastAsia="zh-CN"/>
              </w:rPr>
            </w:pPr>
            <w:r>
              <w:rPr>
                <w:rFonts w:hint="eastAsia" w:ascii="宋体" w:hAnsi="宋体" w:cs="宋体"/>
                <w:lang w:val="en-US" w:eastAsia="zh-CN"/>
              </w:rPr>
              <w:t>3、2022.1.29.；</w:t>
            </w:r>
            <w:r>
              <w:rPr>
                <w:rFonts w:hint="eastAsia" w:ascii="宋体" w:hAnsi="宋体"/>
              </w:rPr>
              <w:t>环境因素、危险源识别及</w:t>
            </w:r>
            <w:r>
              <w:rPr>
                <w:rFonts w:hint="eastAsia" w:ascii="宋体" w:hAnsi="宋体"/>
                <w:lang w:val="en-US"/>
              </w:rPr>
              <w:t>运行要求</w:t>
            </w:r>
            <w:r>
              <w:rPr>
                <w:rFonts w:hint="eastAsia" w:ascii="宋体" w:hAnsi="宋体"/>
              </w:rPr>
              <w:t>培训</w:t>
            </w:r>
            <w:r>
              <w:rPr>
                <w:rFonts w:hint="eastAsia" w:ascii="宋体" w:hAnsi="宋体"/>
                <w:lang w:eastAsia="zh-CN"/>
              </w:rPr>
              <w:t>；</w:t>
            </w:r>
            <w:r>
              <w:rPr>
                <w:rFonts w:hint="eastAsia" w:ascii="Arial" w:cs="Arial"/>
              </w:rPr>
              <w:t>参加人员</w:t>
            </w:r>
            <w:r>
              <w:rPr>
                <w:rFonts w:hint="eastAsia" w:ascii="Arial" w:cs="Arial"/>
                <w:lang w:eastAsia="zh-CN"/>
              </w:rPr>
              <w:t>：</w:t>
            </w:r>
            <w:r>
              <w:rPr>
                <w:rFonts w:hint="eastAsia" w:ascii="宋体" w:hAnsi="宋体" w:cs="宋体"/>
                <w:lang w:val="en-US" w:eastAsia="zh-CN"/>
              </w:rPr>
              <w:t>闫丹丹、李艳玲、姜微、洪雷、赵亚萍、赵鑫；</w:t>
            </w:r>
          </w:p>
          <w:p>
            <w:pPr>
              <w:pStyle w:val="2"/>
              <w:rPr>
                <w:rFonts w:hint="eastAsia" w:ascii="宋体" w:hAnsi="宋体" w:cs="宋体"/>
                <w:lang w:val="en-US" w:eastAsia="zh-CN"/>
              </w:rPr>
            </w:pPr>
            <w:r>
              <w:rPr>
                <w:rFonts w:hint="eastAsia" w:ascii="宋体" w:hAnsi="宋体" w:cs="宋体"/>
                <w:lang w:val="en-US" w:eastAsia="zh-CN"/>
              </w:rPr>
              <w:t>4、</w:t>
            </w:r>
            <w:r>
              <w:rPr>
                <w:rFonts w:hint="eastAsia" w:ascii="宋体" w:hAnsi="宋体" w:cs="宋体"/>
                <w:lang w:val="en-US"/>
              </w:rPr>
              <w:t>2021.11.23</w:t>
            </w:r>
            <w:r>
              <w:rPr>
                <w:rFonts w:hint="eastAsia" w:ascii="宋体" w:hAnsi="宋体" w:cs="宋体"/>
                <w:lang w:val="en-US" w:eastAsia="zh-CN"/>
              </w:rPr>
              <w:t>；</w:t>
            </w:r>
            <w:r>
              <w:rPr>
                <w:rFonts w:hint="eastAsia" w:ascii="宋体" w:hAnsi="宋体"/>
              </w:rPr>
              <w:t>公司编制的管理体系文件、</w:t>
            </w:r>
            <w:r>
              <w:rPr>
                <w:rFonts w:hint="eastAsia" w:ascii="宋体" w:hAnsi="宋体"/>
                <w:szCs w:val="21"/>
              </w:rPr>
              <w:t>规章、管理制度及各部门文件控制与管理培训；</w:t>
            </w:r>
            <w:r>
              <w:rPr>
                <w:rFonts w:hint="eastAsia" w:ascii="Arial" w:cs="Arial"/>
              </w:rPr>
              <w:t>参加人员</w:t>
            </w:r>
            <w:r>
              <w:rPr>
                <w:rFonts w:hint="eastAsia" w:ascii="Arial" w:cs="Arial"/>
                <w:lang w:eastAsia="zh-CN"/>
              </w:rPr>
              <w:t>：</w:t>
            </w:r>
            <w:r>
              <w:rPr>
                <w:rFonts w:hint="eastAsia" w:ascii="宋体" w:hAnsi="宋体" w:cs="宋体"/>
                <w:lang w:val="en-US" w:eastAsia="zh-CN"/>
              </w:rPr>
              <w:t>闫丹丹、李艳玲、姜微、洪雷、赵亚萍、赵鑫；</w:t>
            </w:r>
          </w:p>
          <w:p>
            <w:pPr>
              <w:pStyle w:val="2"/>
              <w:rPr>
                <w:rFonts w:hint="eastAsia" w:ascii="宋体" w:hAnsi="宋体" w:cs="宋体"/>
                <w:lang w:val="en-US" w:eastAsia="zh-CN"/>
              </w:rPr>
            </w:pPr>
            <w:r>
              <w:rPr>
                <w:rFonts w:hint="eastAsia" w:ascii="宋体" w:hAnsi="宋体" w:cs="宋体"/>
                <w:lang w:val="en-US" w:eastAsia="zh-CN"/>
              </w:rPr>
              <w:t>——以上培训均有效果评价；</w:t>
            </w:r>
          </w:p>
          <w:p>
            <w:pPr>
              <w:rPr>
                <w:rFonts w:hint="default" w:ascii="宋体" w:hAnsi="宋体" w:eastAsia="宋体" w:cs="宋体"/>
                <w:lang w:val="en-US" w:eastAsia="zh-CN"/>
              </w:rPr>
            </w:pPr>
            <w:r>
              <w:rPr>
                <w:rFonts w:hint="eastAsia" w:ascii="宋体" w:hAnsi="宋体" w:cs="宋体"/>
                <w:lang w:val="en-US" w:eastAsia="zh-CN"/>
              </w:rPr>
              <w:t>--查三级安全教育：出示有“员工三级安全教育卡”，内容包含姓名、工种、公司级、车间级、班组级教育内容，有效果评价；抽查</w:t>
            </w:r>
            <w:r>
              <w:rPr>
                <w:rFonts w:hint="eastAsia"/>
                <w:szCs w:val="21"/>
              </w:rPr>
              <w:t>聂伟</w:t>
            </w:r>
            <w:r>
              <w:rPr>
                <w:rFonts w:hint="eastAsia"/>
                <w:szCs w:val="21"/>
                <w:lang w:eastAsia="zh-CN"/>
              </w:rPr>
              <w:t>；工种</w:t>
            </w:r>
            <w:r>
              <w:rPr>
                <w:rFonts w:hint="eastAsia"/>
                <w:szCs w:val="21"/>
                <w:lang w:eastAsia="zh-CN"/>
              </w:rPr>
              <w:tab/>
            </w:r>
            <w:r>
              <w:rPr>
                <w:rFonts w:hint="eastAsia"/>
                <w:szCs w:val="21"/>
                <w:lang w:eastAsia="zh-CN"/>
              </w:rPr>
              <w:t>焊接；执教者签字：李艳玲；</w:t>
            </w:r>
            <w:r>
              <w:rPr>
                <w:rFonts w:hint="eastAsia"/>
                <w:szCs w:val="21"/>
                <w:lang w:val="en-US" w:eastAsia="zh-CN"/>
              </w:rPr>
              <w:t>结论：</w:t>
            </w:r>
            <w:r>
              <w:rPr>
                <w:szCs w:val="21"/>
              </w:rPr>
              <w:t>达到培训目的</w:t>
            </w:r>
            <w:r>
              <w:rPr>
                <w:rFonts w:hint="eastAsia"/>
                <w:szCs w:val="21"/>
                <w:lang w:eastAsia="zh-CN"/>
              </w:rPr>
              <w:t>；</w:t>
            </w:r>
            <w:r>
              <w:rPr>
                <w:rFonts w:hint="eastAsia"/>
                <w:szCs w:val="21"/>
                <w:lang w:val="en-US" w:eastAsia="zh-CN"/>
              </w:rPr>
              <w:t>2021.10.20.</w:t>
            </w:r>
          </w:p>
          <w:p>
            <w:pPr>
              <w:pStyle w:val="2"/>
              <w:rPr>
                <w:rFonts w:hint="eastAsia" w:ascii="宋体" w:hAnsi="宋体" w:cs="宋体"/>
                <w:lang w:val="en-US" w:eastAsia="zh-CN"/>
              </w:rPr>
            </w:pPr>
            <w:r>
              <w:rPr>
                <w:rFonts w:hint="eastAsia" w:ascii="宋体" w:hAnsi="宋体" w:cs="宋体"/>
                <w:lang w:val="en-US" w:eastAsia="zh-CN"/>
              </w:rPr>
              <w:t>---远程视频询问姜微、苗雨对公司方针、目标的了解，对其自身行为对公司QES管理体系绩效的影响，其回答基本正确。</w:t>
            </w:r>
          </w:p>
          <w:p>
            <w:pPr>
              <w:pStyle w:val="2"/>
              <w:rPr>
                <w:rFonts w:hint="default" w:ascii="宋体" w:hAnsi="宋体" w:cs="宋体"/>
                <w:lang w:val="en-US" w:eastAsia="zh-CN"/>
              </w:rPr>
            </w:pPr>
            <w:r>
              <w:rPr>
                <w:rFonts w:hint="eastAsia" w:ascii="宋体" w:hAnsi="宋体" w:cs="宋体"/>
                <w:lang w:val="en-US" w:eastAsia="zh-CN"/>
              </w:rPr>
              <w:t>——人员、能力、意识基本符合要求。</w:t>
            </w:r>
          </w:p>
          <w:p>
            <w:pPr>
              <w:pStyle w:val="2"/>
              <w:spacing w:line="240" w:lineRule="auto"/>
              <w:rPr>
                <w:rFonts w:hint="eastAsia"/>
                <w:sz w:val="21"/>
                <w:szCs w:val="21"/>
                <w:lang w:val="en-US" w:eastAsia="zh-CN"/>
              </w:rPr>
            </w:pP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sz w:val="21"/>
                <w:szCs w:val="21"/>
                <w:lang w:val="en-US" w:eastAsia="zh-CN"/>
              </w:rPr>
            </w:pPr>
            <w:r>
              <w:rPr>
                <w:rFonts w:hint="eastAsia"/>
                <w:sz w:val="21"/>
                <w:szCs w:val="21"/>
              </w:rPr>
              <w:t>知识管理的策划、实施与保持</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Q7.1.6</w:t>
            </w:r>
          </w:p>
        </w:tc>
        <w:tc>
          <w:tcPr>
            <w:tcW w:w="3402" w:type="pct"/>
            <w:vAlign w:val="center"/>
          </w:tcPr>
          <w:p>
            <w:pPr>
              <w:pStyle w:val="2"/>
              <w:spacing w:line="240" w:lineRule="auto"/>
              <w:rPr>
                <w:rFonts w:hint="default" w:eastAsia="宋体"/>
                <w:sz w:val="21"/>
                <w:szCs w:val="21"/>
                <w:lang w:val="en-US" w:eastAsia="zh-CN"/>
              </w:rPr>
            </w:pPr>
            <w:r>
              <w:rPr>
                <w:rFonts w:hint="eastAsia"/>
                <w:sz w:val="21"/>
                <w:szCs w:val="21"/>
                <w:lang w:val="en-US" w:eastAsia="zh-CN"/>
              </w:rPr>
              <w:t>---策划有“</w:t>
            </w:r>
            <w:r>
              <w:rPr>
                <w:rFonts w:hint="eastAsia" w:ascii="宋体" w:hAnsi="宋体"/>
              </w:rPr>
              <w:t>组织知识控制程序</w:t>
            </w:r>
            <w:r>
              <w:rPr>
                <w:rFonts w:hint="eastAsia" w:ascii="宋体" w:hAnsi="宋体"/>
                <w:lang w:eastAsia="zh-CN"/>
              </w:rPr>
              <w:t>”，</w:t>
            </w:r>
            <w:r>
              <w:rPr>
                <w:rFonts w:hint="eastAsia" w:ascii="宋体" w:hAnsi="宋体"/>
                <w:lang w:val="en-US" w:eastAsia="zh-CN"/>
              </w:rPr>
              <w:t>本部门主控。</w:t>
            </w:r>
          </w:p>
          <w:p>
            <w:pPr>
              <w:pStyle w:val="2"/>
              <w:spacing w:line="240" w:lineRule="auto"/>
              <w:rPr>
                <w:rFonts w:hint="eastAsia"/>
                <w:sz w:val="21"/>
                <w:szCs w:val="21"/>
                <w:lang w:val="en-US" w:eastAsia="zh-CN"/>
              </w:rPr>
            </w:pPr>
            <w:r>
              <w:rPr>
                <w:rFonts w:hint="eastAsia"/>
                <w:sz w:val="21"/>
                <w:szCs w:val="21"/>
                <w:lang w:val="en-US" w:eastAsia="zh-CN"/>
              </w:rPr>
              <w:t>---组织的知识包括内部知识和外部知识。内部知识包括：石油行业通用要求、HSE标准、政策法规、企业的管理制度、技术总结、经验资料、客户知识资料、体系文件、法律法规、标准、管理制度、工作制度、客户投诉处理报告、事件调查分析、各类改进措施、总结报告等，与供方和合作伙伴学习和交流所收集的关于石油行业通用要求、HSE标准知识、技术知识以及其他相关信息等。外部知识包括：ISO体系标准、国家政策，相关方的要求、行业情况分析。</w:t>
            </w:r>
          </w:p>
          <w:p>
            <w:pPr>
              <w:pStyle w:val="2"/>
              <w:spacing w:line="240" w:lineRule="auto"/>
              <w:rPr>
                <w:rFonts w:hint="eastAsia"/>
                <w:sz w:val="21"/>
                <w:szCs w:val="21"/>
                <w:lang w:val="en-US" w:eastAsia="zh-CN"/>
              </w:rPr>
            </w:pPr>
            <w:r>
              <w:rPr>
                <w:rFonts w:hint="eastAsia"/>
                <w:sz w:val="21"/>
                <w:szCs w:val="21"/>
                <w:lang w:val="en-US" w:eastAsia="zh-CN"/>
              </w:rPr>
              <w:t>---办公室负责所需知识的获取渠道，包括：如标准；学术交流；专业会议，从顾客或外部供方收集的知识、网络搜素（如百度）、邮件采集、建立经验库、知识库和行业数据库等方式。办公室定期对搜集的知识进行评价和更新，使知识保持有效状态。</w:t>
            </w:r>
          </w:p>
          <w:p>
            <w:pPr>
              <w:pStyle w:val="2"/>
              <w:spacing w:line="240" w:lineRule="auto"/>
              <w:rPr>
                <w:rFonts w:hint="eastAsia"/>
                <w:sz w:val="21"/>
                <w:szCs w:val="21"/>
                <w:lang w:val="en-US" w:eastAsia="zh-CN"/>
              </w:rPr>
            </w:pPr>
            <w:r>
              <w:rPr>
                <w:rFonts w:hint="eastAsia"/>
                <w:sz w:val="21"/>
                <w:szCs w:val="21"/>
                <w:lang w:val="en-US" w:eastAsia="zh-CN"/>
              </w:rPr>
              <w:t>——基本适宜。</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sz w:val="21"/>
                <w:szCs w:val="21"/>
                <w:lang w:val="en-US" w:eastAsia="zh-CN"/>
              </w:rPr>
            </w:pPr>
            <w:r>
              <w:rPr>
                <w:rFonts w:hint="eastAsia"/>
                <w:sz w:val="21"/>
                <w:szCs w:val="21"/>
              </w:rPr>
              <w:t>沟通机制的建立和实施</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Q7.4</w:t>
            </w:r>
          </w:p>
        </w:tc>
        <w:tc>
          <w:tcPr>
            <w:tcW w:w="3402" w:type="pct"/>
            <w:vAlign w:val="center"/>
          </w:tcPr>
          <w:p>
            <w:pPr>
              <w:pStyle w:val="2"/>
              <w:spacing w:line="240" w:lineRule="auto"/>
              <w:rPr>
                <w:rFonts w:hint="eastAsia" w:eastAsia="宋体"/>
                <w:sz w:val="21"/>
                <w:szCs w:val="21"/>
                <w:lang w:val="en-US" w:eastAsia="zh-CN"/>
              </w:rPr>
            </w:pPr>
            <w:r>
              <w:rPr>
                <w:rFonts w:hint="eastAsia" w:eastAsia="宋体"/>
                <w:sz w:val="21"/>
                <w:szCs w:val="21"/>
                <w:lang w:val="en-US" w:eastAsia="zh-CN"/>
              </w:rPr>
              <w:t>---提供了“沟通、协商和参与控制程序”和“相关方管理控制程序”，本部门负责</w:t>
            </w:r>
          </w:p>
          <w:p>
            <w:pPr>
              <w:pStyle w:val="2"/>
              <w:spacing w:line="240" w:lineRule="auto"/>
              <w:rPr>
                <w:rFonts w:hint="eastAsia" w:eastAsia="宋体"/>
                <w:sz w:val="21"/>
                <w:szCs w:val="21"/>
                <w:lang w:val="en-US" w:eastAsia="zh-CN"/>
              </w:rPr>
            </w:pPr>
            <w:r>
              <w:rPr>
                <w:rFonts w:hint="eastAsia" w:eastAsia="宋体"/>
                <w:sz w:val="21"/>
                <w:szCs w:val="21"/>
                <w:lang w:val="en-US" w:eastAsia="zh-CN"/>
              </w:rPr>
              <w:t>a.负责与管理者代表进行协商、信息沟通；</w:t>
            </w:r>
          </w:p>
          <w:p>
            <w:pPr>
              <w:pStyle w:val="2"/>
              <w:spacing w:line="240" w:lineRule="auto"/>
              <w:rPr>
                <w:rFonts w:hint="eastAsia" w:eastAsia="宋体"/>
                <w:sz w:val="21"/>
                <w:szCs w:val="21"/>
                <w:lang w:val="en-US" w:eastAsia="zh-CN"/>
              </w:rPr>
            </w:pPr>
            <w:r>
              <w:rPr>
                <w:rFonts w:hint="eastAsia" w:eastAsia="宋体"/>
                <w:sz w:val="21"/>
                <w:szCs w:val="21"/>
                <w:lang w:val="en-US" w:eastAsia="zh-CN"/>
              </w:rPr>
              <w:t>b.负责实施、监控本程序；负责公司管理体系（质量、环境和职业健康安全）方面信息的接受、传递和处理，确保有关问题得到妥善解决；</w:t>
            </w:r>
          </w:p>
          <w:p>
            <w:pPr>
              <w:pStyle w:val="2"/>
              <w:spacing w:line="240" w:lineRule="auto"/>
              <w:rPr>
                <w:rFonts w:hint="eastAsia" w:eastAsia="宋体"/>
                <w:sz w:val="21"/>
                <w:szCs w:val="21"/>
                <w:lang w:val="en-US" w:eastAsia="zh-CN"/>
              </w:rPr>
            </w:pPr>
            <w:r>
              <w:rPr>
                <w:rFonts w:hint="eastAsia" w:eastAsia="宋体"/>
                <w:sz w:val="21"/>
                <w:szCs w:val="21"/>
                <w:lang w:val="en-US" w:eastAsia="zh-CN"/>
              </w:rPr>
              <w:t>c.负责上级和政府主管部门、相关方来文向公司领导和相关部门传递；</w:t>
            </w:r>
          </w:p>
          <w:p>
            <w:pPr>
              <w:pStyle w:val="2"/>
              <w:spacing w:line="240" w:lineRule="auto"/>
              <w:rPr>
                <w:rFonts w:hint="eastAsia" w:eastAsia="宋体"/>
                <w:sz w:val="21"/>
                <w:szCs w:val="21"/>
                <w:lang w:val="en-US" w:eastAsia="zh-CN"/>
              </w:rPr>
            </w:pPr>
            <w:r>
              <w:rPr>
                <w:rFonts w:hint="eastAsia" w:eastAsia="宋体"/>
                <w:sz w:val="21"/>
                <w:szCs w:val="21"/>
                <w:lang w:val="en-US" w:eastAsia="zh-CN"/>
              </w:rPr>
              <w:t>---提供有职业健康安全事务代表任命书，姜微为公司的职业健康安全事务代表，并规定了其职责</w:t>
            </w:r>
          </w:p>
          <w:p>
            <w:pPr>
              <w:pStyle w:val="2"/>
              <w:spacing w:line="240" w:lineRule="auto"/>
              <w:rPr>
                <w:rFonts w:hint="eastAsia" w:eastAsia="宋体"/>
                <w:sz w:val="21"/>
                <w:szCs w:val="21"/>
                <w:lang w:val="en-US" w:eastAsia="zh-CN"/>
              </w:rPr>
            </w:pPr>
            <w:r>
              <w:rPr>
                <w:rFonts w:hint="eastAsia" w:eastAsia="宋体"/>
                <w:sz w:val="21"/>
                <w:szCs w:val="21"/>
                <w:lang w:val="en-US" w:eastAsia="zh-CN"/>
              </w:rPr>
              <w:t>---公司内部通过发放文件、会议（每周部门会议，每月公司会议）、培训等进行沟通，沟通内容包括公司方针、目标、环境因素、危险源、内审、管评等</w:t>
            </w:r>
          </w:p>
          <w:p>
            <w:pPr>
              <w:pStyle w:val="2"/>
              <w:spacing w:line="240" w:lineRule="auto"/>
              <w:rPr>
                <w:rFonts w:hint="eastAsia" w:eastAsia="宋体"/>
                <w:sz w:val="21"/>
                <w:szCs w:val="21"/>
                <w:lang w:val="en-US" w:eastAsia="zh-CN"/>
              </w:rPr>
            </w:pPr>
            <w:r>
              <w:rPr>
                <w:rFonts w:hint="eastAsia" w:eastAsia="宋体"/>
                <w:sz w:val="21"/>
                <w:szCs w:val="21"/>
                <w:lang w:val="en-US" w:eastAsia="zh-CN"/>
              </w:rPr>
              <w:t>---采用电话和回访的方式对顾客满意度进行调查，详见Ｑ９．１．２记录</w:t>
            </w:r>
          </w:p>
          <w:p>
            <w:pPr>
              <w:pStyle w:val="2"/>
              <w:spacing w:line="240" w:lineRule="auto"/>
              <w:rPr>
                <w:rFonts w:hint="eastAsia" w:eastAsia="宋体"/>
                <w:sz w:val="21"/>
                <w:szCs w:val="21"/>
                <w:lang w:val="en-US" w:eastAsia="zh-CN"/>
              </w:rPr>
            </w:pPr>
            <w:r>
              <w:rPr>
                <w:rFonts w:hint="eastAsia" w:eastAsia="宋体"/>
                <w:sz w:val="21"/>
                <w:szCs w:val="21"/>
                <w:lang w:val="en-US" w:eastAsia="zh-CN"/>
              </w:rPr>
              <w:t>---通过口头、电话、网络等与供方进行沟通，索要其相关资质等。</w:t>
            </w:r>
          </w:p>
          <w:p>
            <w:pPr>
              <w:pStyle w:val="2"/>
              <w:spacing w:line="240" w:lineRule="auto"/>
              <w:rPr>
                <w:rFonts w:hint="eastAsia"/>
                <w:sz w:val="21"/>
                <w:szCs w:val="21"/>
                <w:lang w:val="en-US" w:eastAsia="zh-CN"/>
              </w:rPr>
            </w:pPr>
            <w:r>
              <w:rPr>
                <w:rFonts w:hint="eastAsia" w:eastAsia="宋体"/>
                <w:sz w:val="21"/>
                <w:szCs w:val="21"/>
                <w:lang w:val="en-US" w:eastAsia="zh-CN"/>
              </w:rPr>
              <w:t>——基本符合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7" w:hRule="atLeast"/>
        </w:trPr>
        <w:tc>
          <w:tcPr>
            <w:tcW w:w="733" w:type="pct"/>
            <w:vAlign w:val="center"/>
          </w:tcPr>
          <w:p>
            <w:pPr>
              <w:spacing w:line="240" w:lineRule="auto"/>
              <w:jc w:val="center"/>
              <w:rPr>
                <w:rFonts w:hint="eastAsia"/>
                <w:sz w:val="21"/>
                <w:szCs w:val="21"/>
              </w:rPr>
            </w:pPr>
            <w:r>
              <w:rPr>
                <w:rFonts w:hint="eastAsia"/>
                <w:sz w:val="21"/>
                <w:szCs w:val="21"/>
              </w:rPr>
              <w:t>综合管理体系文件化信息的建立及管理</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Q7.5</w:t>
            </w:r>
          </w:p>
        </w:tc>
        <w:tc>
          <w:tcPr>
            <w:tcW w:w="3402" w:type="pct"/>
            <w:vAlign w:val="center"/>
          </w:tcPr>
          <w:p>
            <w:pPr>
              <w:pStyle w:val="2"/>
              <w:spacing w:line="240" w:lineRule="auto"/>
              <w:rPr>
                <w:rFonts w:hint="eastAsia" w:eastAsia="宋体"/>
                <w:sz w:val="21"/>
                <w:szCs w:val="21"/>
                <w:lang w:val="en-US" w:eastAsia="zh-CN"/>
              </w:rPr>
            </w:pPr>
            <w:r>
              <w:rPr>
                <w:rFonts w:hint="eastAsia" w:eastAsia="宋体"/>
                <w:sz w:val="21"/>
                <w:szCs w:val="21"/>
                <w:lang w:val="en-US" w:eastAsia="zh-CN"/>
              </w:rPr>
              <w:t>---策划有“文件控制程序”、“记录控制程序”，本部门主控。</w:t>
            </w:r>
          </w:p>
          <w:p>
            <w:pPr>
              <w:pStyle w:val="2"/>
              <w:spacing w:line="240" w:lineRule="auto"/>
              <w:rPr>
                <w:rFonts w:hint="eastAsia" w:eastAsia="宋体"/>
                <w:sz w:val="21"/>
                <w:szCs w:val="21"/>
                <w:lang w:val="en-US" w:eastAsia="zh-CN"/>
              </w:rPr>
            </w:pPr>
            <w:r>
              <w:rPr>
                <w:rFonts w:hint="eastAsia" w:eastAsia="宋体"/>
                <w:sz w:val="21"/>
                <w:szCs w:val="21"/>
                <w:lang w:val="en-US" w:eastAsia="zh-CN"/>
              </w:rPr>
              <w:t>--查“受控文件清单”，登记有管理手册、程序文件、三级文件的编号、版次、分发范围等。</w:t>
            </w:r>
          </w:p>
          <w:p>
            <w:pPr>
              <w:pStyle w:val="2"/>
              <w:spacing w:line="240" w:lineRule="auto"/>
              <w:rPr>
                <w:rFonts w:hint="eastAsia" w:eastAsia="宋体"/>
                <w:sz w:val="21"/>
                <w:szCs w:val="21"/>
                <w:lang w:val="en-US" w:eastAsia="zh-CN"/>
              </w:rPr>
            </w:pPr>
            <w:r>
              <w:rPr>
                <w:rFonts w:hint="eastAsia" w:eastAsia="宋体"/>
                <w:sz w:val="21"/>
                <w:szCs w:val="21"/>
                <w:lang w:val="en-US" w:eastAsia="zh-CN"/>
              </w:rPr>
              <w:t>---查三级，GH-MO-2021,A/0，编审批受控章齐全，2021.10.15.发布实施，包括：</w:t>
            </w:r>
          </w:p>
          <w:p>
            <w:pPr>
              <w:pStyle w:val="2"/>
              <w:spacing w:line="240" w:lineRule="auto"/>
              <w:rPr>
                <w:rFonts w:hint="default" w:eastAsia="宋体"/>
                <w:sz w:val="21"/>
                <w:szCs w:val="21"/>
                <w:lang w:val="en-US" w:eastAsia="zh-CN"/>
              </w:rPr>
            </w:pPr>
            <w:r>
              <w:rPr>
                <w:rFonts w:hint="default" w:eastAsia="宋体"/>
                <w:sz w:val="21"/>
                <w:szCs w:val="21"/>
                <w:lang w:val="en-US" w:eastAsia="zh-CN"/>
              </w:rPr>
              <w:t>三体系目标分解考核办法</w:t>
            </w:r>
          </w:p>
          <w:p>
            <w:pPr>
              <w:pStyle w:val="2"/>
              <w:spacing w:line="240" w:lineRule="auto"/>
              <w:rPr>
                <w:rFonts w:hint="default" w:eastAsia="宋体"/>
                <w:sz w:val="21"/>
                <w:szCs w:val="21"/>
                <w:lang w:val="en-US" w:eastAsia="zh-CN"/>
              </w:rPr>
            </w:pPr>
            <w:r>
              <w:rPr>
                <w:rFonts w:hint="default" w:eastAsia="宋体"/>
                <w:sz w:val="21"/>
                <w:szCs w:val="21"/>
                <w:lang w:val="en-US" w:eastAsia="zh-CN"/>
              </w:rPr>
              <w:t>岗位任职要求</w:t>
            </w:r>
          </w:p>
          <w:p>
            <w:pPr>
              <w:pStyle w:val="2"/>
              <w:spacing w:line="240" w:lineRule="auto"/>
              <w:rPr>
                <w:rFonts w:hint="default" w:eastAsia="宋体"/>
                <w:sz w:val="21"/>
                <w:szCs w:val="21"/>
                <w:lang w:val="en-US" w:eastAsia="zh-CN"/>
              </w:rPr>
            </w:pPr>
            <w:r>
              <w:rPr>
                <w:rFonts w:hint="default" w:eastAsia="宋体"/>
                <w:sz w:val="21"/>
                <w:szCs w:val="21"/>
                <w:lang w:val="en-US" w:eastAsia="zh-CN"/>
              </w:rPr>
              <w:t>综合部管理制度</w:t>
            </w:r>
          </w:p>
          <w:p>
            <w:pPr>
              <w:pStyle w:val="2"/>
              <w:spacing w:line="240" w:lineRule="auto"/>
              <w:rPr>
                <w:rFonts w:hint="default" w:eastAsia="宋体"/>
                <w:sz w:val="21"/>
                <w:szCs w:val="21"/>
                <w:lang w:val="en-US" w:eastAsia="zh-CN"/>
              </w:rPr>
            </w:pPr>
            <w:r>
              <w:rPr>
                <w:rFonts w:hint="default" w:eastAsia="宋体"/>
                <w:sz w:val="21"/>
                <w:szCs w:val="21"/>
                <w:lang w:val="en-US" w:eastAsia="zh-CN"/>
              </w:rPr>
              <w:t>公司档案管理制度</w:t>
            </w:r>
          </w:p>
          <w:p>
            <w:pPr>
              <w:pStyle w:val="2"/>
              <w:spacing w:line="240" w:lineRule="auto"/>
              <w:rPr>
                <w:rFonts w:hint="default" w:eastAsia="宋体"/>
                <w:sz w:val="21"/>
                <w:szCs w:val="21"/>
                <w:lang w:val="en-US" w:eastAsia="zh-CN"/>
              </w:rPr>
            </w:pPr>
            <w:r>
              <w:rPr>
                <w:rFonts w:hint="default" w:eastAsia="宋体"/>
                <w:sz w:val="21"/>
                <w:szCs w:val="21"/>
                <w:lang w:val="en-US" w:eastAsia="zh-CN"/>
              </w:rPr>
              <w:t>办公设施管理制度</w:t>
            </w:r>
          </w:p>
          <w:p>
            <w:pPr>
              <w:pStyle w:val="2"/>
              <w:spacing w:line="240" w:lineRule="auto"/>
              <w:rPr>
                <w:rFonts w:hint="eastAsia" w:eastAsia="宋体"/>
                <w:sz w:val="21"/>
                <w:szCs w:val="21"/>
                <w:lang w:val="en-US" w:eastAsia="zh-CN"/>
              </w:rPr>
            </w:pPr>
            <w:r>
              <w:rPr>
                <w:rFonts w:hint="eastAsia" w:eastAsia="宋体"/>
                <w:sz w:val="21"/>
                <w:szCs w:val="21"/>
                <w:lang w:val="en-US" w:eastAsia="zh-CN"/>
              </w:rPr>
              <w:t>等共14项。</w:t>
            </w:r>
          </w:p>
          <w:p>
            <w:pPr>
              <w:pStyle w:val="2"/>
              <w:spacing w:line="240" w:lineRule="auto"/>
              <w:rPr>
                <w:rFonts w:hint="eastAsia" w:eastAsia="宋体"/>
                <w:sz w:val="21"/>
                <w:szCs w:val="21"/>
                <w:lang w:val="en-US" w:eastAsia="zh-CN"/>
              </w:rPr>
            </w:pPr>
            <w:r>
              <w:rPr>
                <w:rFonts w:hint="eastAsia" w:eastAsia="宋体"/>
                <w:sz w:val="21"/>
                <w:szCs w:val="21"/>
                <w:lang w:val="en-US" w:eastAsia="zh-CN"/>
              </w:rPr>
              <w:t>---查“程序文件”GH-QEOP-2021,A/0，编审批受控章齐全，2021.10.15.发布实施，包括：</w:t>
            </w:r>
          </w:p>
          <w:p>
            <w:pPr>
              <w:pStyle w:val="2"/>
              <w:spacing w:line="240" w:lineRule="auto"/>
              <w:rPr>
                <w:rFonts w:hint="default" w:eastAsia="宋体"/>
                <w:sz w:val="21"/>
                <w:szCs w:val="21"/>
                <w:lang w:val="en-US" w:eastAsia="zh-CN"/>
              </w:rPr>
            </w:pPr>
            <w:r>
              <w:rPr>
                <w:rFonts w:hint="default" w:eastAsia="宋体"/>
                <w:sz w:val="21"/>
                <w:szCs w:val="21"/>
                <w:lang w:val="en-US" w:eastAsia="zh-CN"/>
              </w:rPr>
              <w:t>文件控制程序</w:t>
            </w:r>
          </w:p>
          <w:p>
            <w:pPr>
              <w:pStyle w:val="2"/>
              <w:spacing w:line="240" w:lineRule="auto"/>
              <w:rPr>
                <w:rFonts w:hint="default" w:eastAsia="宋体"/>
                <w:sz w:val="21"/>
                <w:szCs w:val="21"/>
                <w:lang w:val="en-US" w:eastAsia="zh-CN"/>
              </w:rPr>
            </w:pPr>
            <w:r>
              <w:rPr>
                <w:rFonts w:hint="default" w:eastAsia="宋体"/>
                <w:sz w:val="21"/>
                <w:szCs w:val="21"/>
                <w:lang w:val="en-US" w:eastAsia="zh-CN"/>
              </w:rPr>
              <w:t>记录控制程序</w:t>
            </w:r>
          </w:p>
          <w:p>
            <w:pPr>
              <w:pStyle w:val="2"/>
              <w:spacing w:line="240" w:lineRule="auto"/>
              <w:rPr>
                <w:rFonts w:hint="default" w:eastAsia="宋体"/>
                <w:sz w:val="21"/>
                <w:szCs w:val="21"/>
                <w:lang w:val="en-US" w:eastAsia="zh-CN"/>
              </w:rPr>
            </w:pPr>
            <w:r>
              <w:rPr>
                <w:rFonts w:hint="default" w:eastAsia="宋体"/>
                <w:sz w:val="21"/>
                <w:szCs w:val="21"/>
                <w:lang w:val="en-US" w:eastAsia="zh-CN"/>
              </w:rPr>
              <w:t>环境因素识别与评价控制程序</w:t>
            </w:r>
          </w:p>
          <w:p>
            <w:pPr>
              <w:pStyle w:val="2"/>
              <w:spacing w:line="240" w:lineRule="auto"/>
              <w:rPr>
                <w:rFonts w:hint="default" w:eastAsia="宋体"/>
                <w:sz w:val="21"/>
                <w:szCs w:val="21"/>
                <w:lang w:val="en-US" w:eastAsia="zh-CN"/>
              </w:rPr>
            </w:pPr>
            <w:r>
              <w:rPr>
                <w:rFonts w:hint="default" w:eastAsia="宋体"/>
                <w:sz w:val="21"/>
                <w:szCs w:val="21"/>
                <w:lang w:val="en-US" w:eastAsia="zh-CN"/>
              </w:rPr>
              <w:t>危险源识别及风险评价控制程序</w:t>
            </w:r>
          </w:p>
          <w:p>
            <w:pPr>
              <w:pStyle w:val="2"/>
              <w:spacing w:line="240" w:lineRule="auto"/>
              <w:rPr>
                <w:rFonts w:hint="default" w:eastAsia="宋体"/>
                <w:sz w:val="21"/>
                <w:szCs w:val="21"/>
                <w:lang w:val="en-US" w:eastAsia="zh-CN"/>
              </w:rPr>
            </w:pPr>
            <w:r>
              <w:rPr>
                <w:rFonts w:hint="default" w:eastAsia="宋体"/>
                <w:sz w:val="21"/>
                <w:szCs w:val="21"/>
                <w:lang w:val="en-US" w:eastAsia="zh-CN"/>
              </w:rPr>
              <w:t>法律法规及其他要求控制程序</w:t>
            </w:r>
          </w:p>
          <w:p>
            <w:pPr>
              <w:pStyle w:val="2"/>
              <w:spacing w:line="240" w:lineRule="auto"/>
              <w:rPr>
                <w:rFonts w:hint="default" w:eastAsia="宋体"/>
                <w:sz w:val="21"/>
                <w:szCs w:val="21"/>
                <w:lang w:val="en-US" w:eastAsia="zh-CN"/>
              </w:rPr>
            </w:pPr>
            <w:r>
              <w:rPr>
                <w:rFonts w:hint="eastAsia" w:eastAsia="宋体"/>
                <w:sz w:val="21"/>
                <w:szCs w:val="21"/>
                <w:lang w:val="en-US" w:eastAsia="zh-CN"/>
              </w:rPr>
              <w:t>等共28项。</w:t>
            </w:r>
          </w:p>
          <w:p>
            <w:pPr>
              <w:pStyle w:val="2"/>
              <w:spacing w:line="240" w:lineRule="auto"/>
              <w:rPr>
                <w:rFonts w:hint="eastAsia" w:eastAsia="宋体"/>
                <w:sz w:val="21"/>
                <w:szCs w:val="21"/>
                <w:lang w:val="en-US" w:eastAsia="zh-CN"/>
              </w:rPr>
            </w:pPr>
            <w:r>
              <w:rPr>
                <w:rFonts w:hint="eastAsia" w:eastAsia="宋体"/>
                <w:sz w:val="21"/>
                <w:szCs w:val="21"/>
                <w:lang w:val="en-US" w:eastAsia="zh-CN"/>
              </w:rPr>
              <w:t>---查“记录清单”，记录有记录名称、编号和保存年限，包括组织环境识别表、相关方的需求和期望清单、合同评审表、合格供方名单、供方评价表、顾客满意度调查表、重要环境因素清单、管理评审报告、内审报告等82项。</w:t>
            </w:r>
          </w:p>
          <w:p>
            <w:pPr>
              <w:pStyle w:val="2"/>
              <w:spacing w:line="240" w:lineRule="auto"/>
              <w:rPr>
                <w:rFonts w:hint="eastAsia" w:eastAsia="宋体"/>
                <w:sz w:val="21"/>
                <w:szCs w:val="21"/>
                <w:lang w:val="en-US" w:eastAsia="zh-CN"/>
              </w:rPr>
            </w:pPr>
            <w:r>
              <w:rPr>
                <w:rFonts w:hint="eastAsia" w:eastAsia="宋体"/>
                <w:sz w:val="21"/>
                <w:szCs w:val="21"/>
                <w:lang w:val="en-US" w:eastAsia="zh-CN"/>
              </w:rPr>
              <w:t>---查“设备维护、保养、检修管理制度”，编号：GH-SJ06；内容包括每日开机之前，每日关机之后，年底等各个工序和时间段要做什么。</w:t>
            </w:r>
          </w:p>
          <w:p>
            <w:pPr>
              <w:pStyle w:val="2"/>
              <w:spacing w:line="240" w:lineRule="auto"/>
              <w:rPr>
                <w:rFonts w:hint="eastAsia" w:eastAsia="宋体"/>
                <w:sz w:val="21"/>
                <w:szCs w:val="21"/>
                <w:lang w:val="en-US" w:eastAsia="zh-CN"/>
              </w:rPr>
            </w:pPr>
            <w:r>
              <w:rPr>
                <w:rFonts w:hint="eastAsia" w:eastAsia="宋体"/>
                <w:sz w:val="21"/>
                <w:szCs w:val="21"/>
                <w:lang w:val="en-US" w:eastAsia="zh-CN"/>
              </w:rPr>
              <w:t>---查“文件发放、回收记录”，编审批日期齐全，内容包括：</w:t>
            </w:r>
          </w:p>
          <w:p>
            <w:pPr>
              <w:pStyle w:val="2"/>
              <w:spacing w:line="240" w:lineRule="auto"/>
              <w:rPr>
                <w:rFonts w:hint="eastAsia" w:eastAsia="宋体"/>
                <w:sz w:val="21"/>
                <w:szCs w:val="21"/>
                <w:lang w:val="en-US" w:eastAsia="zh-CN"/>
              </w:rPr>
            </w:pPr>
            <w:r>
              <w:rPr>
                <w:rFonts w:hint="eastAsia" w:eastAsia="宋体"/>
                <w:sz w:val="21"/>
                <w:szCs w:val="21"/>
                <w:lang w:val="en-US" w:eastAsia="zh-CN"/>
              </w:rPr>
              <w:t>2021.10.15.发放管理手册、程序文件汇编、三级文件给领导层 总经理室、综合部、生产部、市场开发部、技术服务部、质检部。</w:t>
            </w:r>
          </w:p>
          <w:p>
            <w:pPr>
              <w:pStyle w:val="2"/>
              <w:spacing w:line="240" w:lineRule="auto"/>
              <w:rPr>
                <w:rFonts w:hint="eastAsia" w:eastAsia="宋体"/>
                <w:sz w:val="21"/>
                <w:szCs w:val="21"/>
                <w:lang w:val="en-US" w:eastAsia="zh-CN"/>
              </w:rPr>
            </w:pPr>
            <w:r>
              <w:rPr>
                <w:rFonts w:hint="eastAsia" w:eastAsia="宋体"/>
                <w:sz w:val="21"/>
                <w:szCs w:val="21"/>
                <w:lang w:val="en-US" w:eastAsia="zh-CN"/>
              </w:rPr>
              <w:t>---查内审记录、管理评审记录、培训记录均能提供。</w:t>
            </w:r>
          </w:p>
          <w:p>
            <w:pPr>
              <w:pStyle w:val="2"/>
              <w:spacing w:line="240" w:lineRule="auto"/>
              <w:rPr>
                <w:rFonts w:hint="default"/>
                <w:lang w:val="en-US" w:eastAsia="zh-CN"/>
              </w:rPr>
            </w:pPr>
            <w:r>
              <w:rPr>
                <w:rFonts w:hint="eastAsia" w:eastAsia="宋体"/>
                <w:sz w:val="21"/>
                <w:szCs w:val="21"/>
                <w:lang w:val="en-US" w:eastAsia="zh-CN"/>
              </w:rPr>
              <w:t>——基本符合。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eastAsia="宋体"/>
                <w:sz w:val="21"/>
                <w:szCs w:val="21"/>
                <w:lang w:val="en-US" w:eastAsia="zh-CN"/>
              </w:rPr>
            </w:pPr>
            <w:r>
              <w:rPr>
                <w:rFonts w:hint="eastAsia"/>
                <w:sz w:val="21"/>
                <w:szCs w:val="21"/>
                <w:lang w:val="en-US" w:eastAsia="zh-CN"/>
              </w:rPr>
              <w:t>采购过程</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Q8.4</w:t>
            </w:r>
          </w:p>
        </w:tc>
        <w:tc>
          <w:tcPr>
            <w:tcW w:w="3402" w:type="pct"/>
            <w:vAlign w:val="center"/>
          </w:tcPr>
          <w:p>
            <w:pPr>
              <w:pStyle w:val="15"/>
              <w:rPr>
                <w:rFonts w:hint="eastAsia"/>
                <w:sz w:val="21"/>
                <w:szCs w:val="21"/>
              </w:rPr>
            </w:pPr>
            <w:r>
              <w:rPr>
                <w:rFonts w:hint="eastAsia"/>
                <w:sz w:val="21"/>
                <w:szCs w:val="21"/>
                <w:lang w:val="en-US" w:eastAsia="zh-CN"/>
              </w:rPr>
              <w:t>---策划有“采购控制程序”、“相关方管理控制程序”；</w:t>
            </w:r>
            <w:r>
              <w:rPr>
                <w:rFonts w:hint="eastAsia"/>
                <w:sz w:val="21"/>
                <w:szCs w:val="21"/>
              </w:rPr>
              <w:t>其中规定了对合格供方评价及重新评价的要求，对如何实施采购、验证等做出了规定。</w:t>
            </w:r>
          </w:p>
          <w:p>
            <w:pPr>
              <w:pStyle w:val="15"/>
              <w:rPr>
                <w:rFonts w:hint="default" w:eastAsia="宋体"/>
                <w:sz w:val="21"/>
                <w:szCs w:val="21"/>
                <w:lang w:val="en-US" w:eastAsia="zh-CN"/>
              </w:rPr>
            </w:pPr>
            <w:r>
              <w:rPr>
                <w:rFonts w:hint="eastAsia"/>
                <w:sz w:val="21"/>
                <w:szCs w:val="21"/>
                <w:lang w:val="en-US" w:eastAsia="zh-CN"/>
              </w:rPr>
              <w:t>---核查出示有“施加影响相关方一览表”及“相关方告知书”，向相关方通报了公司的QES方针及目标。</w:t>
            </w:r>
            <w:bookmarkStart w:id="8" w:name="_GoBack"/>
            <w:bookmarkEnd w:id="8"/>
          </w:p>
          <w:p>
            <w:pPr>
              <w:pStyle w:val="2"/>
              <w:spacing w:line="240" w:lineRule="auto"/>
              <w:rPr>
                <w:rFonts w:hint="eastAsia" w:ascii="Calibri" w:hAnsi="Calibri" w:eastAsia="宋体" w:cs="Times New Roman"/>
                <w:kern w:val="2"/>
                <w:sz w:val="21"/>
                <w:szCs w:val="21"/>
                <w:lang w:val="en-US" w:eastAsia="zh-CN" w:bidi="ar-SA"/>
              </w:rPr>
            </w:pPr>
            <w:r>
              <w:rPr>
                <w:rFonts w:hint="eastAsia"/>
                <w:sz w:val="21"/>
                <w:szCs w:val="21"/>
                <w:lang w:val="en-US" w:eastAsia="zh-CN"/>
              </w:rPr>
              <w:t>---</w:t>
            </w:r>
            <w:r>
              <w:rPr>
                <w:rFonts w:hint="eastAsia"/>
                <w:sz w:val="21"/>
                <w:szCs w:val="21"/>
              </w:rPr>
              <w:t>核</w:t>
            </w:r>
            <w:r>
              <w:rPr>
                <w:rFonts w:hint="eastAsia" w:ascii="Calibri" w:hAnsi="Calibri" w:eastAsia="宋体" w:cs="Times New Roman"/>
                <w:kern w:val="2"/>
                <w:sz w:val="21"/>
                <w:szCs w:val="21"/>
                <w:lang w:val="en-US" w:eastAsia="zh-CN" w:bidi="ar-SA"/>
              </w:rPr>
              <w:t>查公司主要采购主要物资为坐键循环套、坐键短节、悬挂接头、钢铝铜材、钻具接头、不锈钢丝、轴承、密封件、工鞋、橡胶手套等。</w:t>
            </w:r>
          </w:p>
          <w:p>
            <w:pPr>
              <w:pStyle w:val="2"/>
              <w:spacing w:line="240" w:lineRule="auto"/>
              <w:rPr>
                <w:rFonts w:hint="eastAsia" w:ascii="Calibri" w:hAnsi="Calibri" w:eastAsia="宋体" w:cs="Times New Roman"/>
                <w:kern w:val="2"/>
                <w:sz w:val="21"/>
                <w:szCs w:val="21"/>
                <w:lang w:val="en-US" w:eastAsia="zh-CN" w:bidi="ar-SA"/>
              </w:rPr>
            </w:pPr>
            <w:r>
              <w:rPr>
                <w:rFonts w:hint="eastAsia"/>
                <w:sz w:val="21"/>
                <w:szCs w:val="21"/>
              </w:rPr>
              <w:t>查供方清单（20</w:t>
            </w:r>
            <w:r>
              <w:rPr>
                <w:rFonts w:hint="eastAsia"/>
                <w:sz w:val="21"/>
                <w:szCs w:val="21"/>
                <w:lang w:val="en-US" w:eastAsia="zh-CN"/>
              </w:rPr>
              <w:t>22</w:t>
            </w:r>
            <w:r>
              <w:rPr>
                <w:rFonts w:hint="eastAsia"/>
                <w:sz w:val="21"/>
                <w:szCs w:val="21"/>
              </w:rPr>
              <w:t>年度） ：</w:t>
            </w:r>
            <w:r>
              <w:rPr>
                <w:rFonts w:hint="eastAsia"/>
                <w:sz w:val="21"/>
                <w:szCs w:val="21"/>
                <w:lang w:val="en-US" w:eastAsia="zh-CN"/>
              </w:rPr>
              <w:t>包含</w:t>
            </w:r>
            <w:r>
              <w:rPr>
                <w:rFonts w:hint="eastAsia" w:eastAsia="宋体"/>
                <w:sz w:val="21"/>
                <w:szCs w:val="21"/>
              </w:rPr>
              <w:t>北京长城博创科技有限公司</w:t>
            </w:r>
            <w:r>
              <w:rPr>
                <w:rFonts w:hint="eastAsia" w:eastAsia="宋体"/>
                <w:sz w:val="21"/>
                <w:szCs w:val="21"/>
                <w:lang w:eastAsia="zh-CN"/>
              </w:rPr>
              <w:t>、</w:t>
            </w:r>
            <w:r>
              <w:rPr>
                <w:rFonts w:hint="eastAsia" w:eastAsia="宋体"/>
                <w:sz w:val="21"/>
                <w:szCs w:val="21"/>
              </w:rPr>
              <w:t>宁津路飞机械有限公司</w:t>
            </w:r>
            <w:r>
              <w:rPr>
                <w:rFonts w:hint="eastAsia" w:eastAsia="宋体"/>
                <w:sz w:val="21"/>
                <w:szCs w:val="21"/>
                <w:lang w:eastAsia="zh-CN"/>
              </w:rPr>
              <w:t>、</w:t>
            </w:r>
            <w:r>
              <w:rPr>
                <w:rFonts w:hint="eastAsia" w:eastAsia="宋体"/>
                <w:sz w:val="21"/>
                <w:szCs w:val="21"/>
              </w:rPr>
              <w:t>盘锦旭鸿石油装备有限公司</w:t>
            </w:r>
            <w:r>
              <w:rPr>
                <w:rFonts w:hint="eastAsia" w:eastAsia="宋体"/>
                <w:sz w:val="21"/>
                <w:szCs w:val="21"/>
                <w:lang w:eastAsia="zh-CN"/>
              </w:rPr>
              <w:t>、</w:t>
            </w:r>
            <w:r>
              <w:rPr>
                <w:rFonts w:hint="eastAsia" w:eastAsia="宋体"/>
                <w:sz w:val="21"/>
                <w:szCs w:val="21"/>
              </w:rPr>
              <w:t>北京石油机械</w:t>
            </w:r>
            <w:r>
              <w:rPr>
                <w:rFonts w:hint="eastAsia" w:ascii="Calibri" w:hAnsi="Calibri" w:eastAsia="宋体" w:cs="Times New Roman"/>
                <w:kern w:val="2"/>
                <w:sz w:val="21"/>
                <w:szCs w:val="21"/>
                <w:lang w:val="en-US" w:eastAsia="zh-CN" w:bidi="ar-SA"/>
              </w:rPr>
              <w:t>厂、京东/淘宝平台等共6家合格供方。</w:t>
            </w:r>
          </w:p>
          <w:p>
            <w:pPr>
              <w:pStyle w:val="2"/>
              <w:spacing w:line="240" w:lineRule="auto"/>
              <w:rPr>
                <w:rFonts w:hint="default" w:eastAsia="宋体"/>
                <w:sz w:val="21"/>
                <w:szCs w:val="21"/>
                <w:lang w:val="en-US" w:eastAsia="zh-CN"/>
              </w:rPr>
            </w:pPr>
            <w:r>
              <w:rPr>
                <w:rFonts w:hint="eastAsia" w:ascii="Calibri" w:hAnsi="Calibri" w:eastAsia="宋体" w:cs="Times New Roman"/>
                <w:kern w:val="2"/>
                <w:sz w:val="21"/>
                <w:szCs w:val="21"/>
                <w:lang w:val="en-US" w:eastAsia="zh-CN" w:bidi="ar-SA"/>
              </w:rPr>
              <w:t>核查其合格供方供方评审资料，其提供有：营业执照、供方评价记录、采购合同等；</w:t>
            </w:r>
          </w:p>
          <w:p>
            <w:pPr>
              <w:pStyle w:val="15"/>
              <w:rPr>
                <w:rFonts w:hint="eastAsia"/>
                <w:sz w:val="21"/>
                <w:szCs w:val="21"/>
                <w:lang w:val="en-US" w:eastAsia="zh-CN"/>
              </w:rPr>
            </w:pPr>
            <w:r>
              <w:rPr>
                <w:rFonts w:hint="eastAsia"/>
                <w:sz w:val="21"/>
                <w:szCs w:val="21"/>
                <w:lang w:val="en-US" w:eastAsia="zh-CN"/>
              </w:rPr>
              <w:t>抽1；2022.4.6.盘锦旭鸿石油装备有限公司的采购合同；采购产品</w:t>
            </w:r>
            <w:r>
              <w:rPr>
                <w:rFonts w:hint="eastAsia" w:ascii="Calibri" w:hAnsi="Calibri" w:eastAsia="宋体" w:cs="Times New Roman"/>
                <w:kern w:val="2"/>
                <w:sz w:val="21"/>
                <w:szCs w:val="21"/>
                <w:lang w:val="en-US" w:eastAsia="zh-CN" w:bidi="ar-SA"/>
              </w:rPr>
              <w:t>不锈钢丝、轴承、密封件</w:t>
            </w:r>
            <w:r>
              <w:rPr>
                <w:rFonts w:hint="eastAsia" w:eastAsia="宋体" w:cs="Times New Roman"/>
                <w:kern w:val="2"/>
                <w:sz w:val="21"/>
                <w:szCs w:val="21"/>
                <w:lang w:val="en-US" w:eastAsia="zh-CN" w:bidi="ar-SA"/>
              </w:rPr>
              <w:t>，</w:t>
            </w:r>
            <w:r>
              <w:rPr>
                <w:rFonts w:hint="eastAsia"/>
                <w:sz w:val="21"/>
                <w:szCs w:val="21"/>
                <w:lang w:val="en-US" w:eastAsia="zh-CN"/>
              </w:rPr>
              <w:t>主要用于顶驱维修、顶驱技术服务及顶驱配件的销售；产品名称、规格、数量、质量标准、运输方式、结算及违约责任等信息清晰明确，权限人及双方公章齐全。</w:t>
            </w:r>
          </w:p>
          <w:p>
            <w:pPr>
              <w:pStyle w:val="2"/>
              <w:spacing w:line="240" w:lineRule="auto"/>
            </w:pPr>
            <w:r>
              <w:drawing>
                <wp:inline distT="0" distB="0" distL="114300" distR="114300">
                  <wp:extent cx="3303270" cy="28117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303270" cy="2811780"/>
                          </a:xfrm>
                          <a:prstGeom prst="rect">
                            <a:avLst/>
                          </a:prstGeom>
                          <a:noFill/>
                          <a:ln>
                            <a:noFill/>
                          </a:ln>
                        </pic:spPr>
                      </pic:pic>
                    </a:graphicData>
                  </a:graphic>
                </wp:inline>
              </w:drawing>
            </w:r>
            <w:r>
              <w:drawing>
                <wp:inline distT="0" distB="0" distL="114300" distR="114300">
                  <wp:extent cx="3493135" cy="2841625"/>
                  <wp:effectExtent l="0" t="0" r="1206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493135" cy="2841625"/>
                          </a:xfrm>
                          <a:prstGeom prst="rect">
                            <a:avLst/>
                          </a:prstGeom>
                          <a:noFill/>
                          <a:ln>
                            <a:noFill/>
                          </a:ln>
                        </pic:spPr>
                      </pic:pic>
                    </a:graphicData>
                  </a:graphic>
                </wp:inline>
              </w:drawing>
            </w:r>
          </w:p>
          <w:p>
            <w:pPr>
              <w:pStyle w:val="2"/>
              <w:spacing w:line="240" w:lineRule="auto"/>
              <w:rPr>
                <w:rFonts w:hint="eastAsia" w:eastAsia="宋体"/>
                <w:lang w:val="en-US" w:eastAsia="zh-CN"/>
              </w:rPr>
            </w:pPr>
            <w:r>
              <w:rPr>
                <w:rFonts w:hint="eastAsia" w:ascii="Calibri" w:hAnsi="Calibri" w:eastAsia="宋体" w:cs="Times New Roman"/>
                <w:kern w:val="2"/>
                <w:sz w:val="21"/>
                <w:szCs w:val="21"/>
                <w:lang w:val="en-US" w:eastAsia="zh-CN" w:bidi="ar-SA"/>
              </w:rPr>
              <w:t>跟踪核查其2021.10.15.“供方评定记录表”，评审内容包括主要采购的产品、供应能力评价、技术能力评价、质量能力评价、获得哪些质量认证证书和产品认证（获奖）证书等，评定结论：可列入合格供方名录；签字：李艳玲；日期：2021.10.15；</w:t>
            </w:r>
          </w:p>
          <w:p>
            <w:pPr>
              <w:pStyle w:val="2"/>
              <w:spacing w:line="240" w:lineRule="auto"/>
              <w:rPr>
                <w:rFonts w:hint="eastAsia" w:ascii="Calibri" w:hAnsi="Calibri" w:eastAsia="宋体" w:cs="Times New Roman"/>
                <w:kern w:val="2"/>
                <w:sz w:val="21"/>
                <w:szCs w:val="21"/>
                <w:lang w:val="en-US" w:eastAsia="zh-CN" w:bidi="ar-SA"/>
              </w:rPr>
            </w:pPr>
            <w:r>
              <w:rPr>
                <w:rFonts w:hint="eastAsia"/>
                <w:sz w:val="21"/>
                <w:szCs w:val="21"/>
              </w:rPr>
              <w:t>负责</w:t>
            </w:r>
            <w:r>
              <w:rPr>
                <w:rFonts w:hint="eastAsia" w:ascii="Calibri" w:hAnsi="Calibri" w:eastAsia="宋体" w:cs="Times New Roman"/>
                <w:kern w:val="2"/>
                <w:sz w:val="21"/>
                <w:szCs w:val="21"/>
                <w:lang w:val="en-US" w:eastAsia="zh-CN" w:bidi="ar-SA"/>
              </w:rPr>
              <w:t>人表述：公司原材料采购需求主要依据当月的订单产品量以及仓库原材料库存限量制定相应的采购计划，采购人员依据该要求进行采购作业的实施。</w:t>
            </w:r>
          </w:p>
          <w:p>
            <w:pPr>
              <w:pStyle w:val="2"/>
              <w:spacing w:line="240" w:lineRule="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跟踪核查其“采购计划”2022.4.3.；</w:t>
            </w:r>
          </w:p>
          <w:p>
            <w:pPr>
              <w:pStyle w:val="2"/>
              <w:spacing w:line="240" w:lineRule="auto"/>
              <w:rPr>
                <w:rFonts w:hint="default"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t>序号</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供方名称</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采购名称</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品种</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数量/价格</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交货期</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质量要求</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批准人</w:t>
            </w:r>
          </w:p>
          <w:p>
            <w:pPr>
              <w:pStyle w:val="2"/>
              <w:spacing w:line="240" w:lineRule="auto"/>
              <w:rPr>
                <w:rFonts w:hint="default"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t>1</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盘锦旭鸿石油装备有限公司</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轴承</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Nu222emc3</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2</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2022.</w:t>
            </w:r>
            <w:r>
              <w:rPr>
                <w:rFonts w:hint="eastAsia" w:ascii="Calibri" w:hAnsi="Calibri" w:eastAsia="宋体" w:cs="Times New Roman"/>
                <w:kern w:val="2"/>
                <w:sz w:val="21"/>
                <w:szCs w:val="21"/>
                <w:lang w:val="en-US" w:eastAsia="zh-CN" w:bidi="ar-SA"/>
              </w:rPr>
              <w:t>4</w:t>
            </w:r>
            <w:r>
              <w:rPr>
                <w:rFonts w:hint="default" w:ascii="Calibri" w:hAnsi="Calibri" w:eastAsia="宋体" w:cs="Times New Roman"/>
                <w:kern w:val="2"/>
                <w:sz w:val="21"/>
                <w:szCs w:val="21"/>
                <w:lang w:val="en-US" w:eastAsia="zh-CN" w:bidi="ar-SA"/>
              </w:rPr>
              <w:t>.12</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按国家标准</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闫丹丹2022.4.3</w:t>
            </w:r>
          </w:p>
          <w:p>
            <w:pPr>
              <w:pStyle w:val="2"/>
              <w:spacing w:line="240" w:lineRule="auto"/>
              <w:rPr>
                <w:rFonts w:hint="default"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t>2</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盘锦旭鸿石油装备有限公司</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密封件</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ab/>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2</w:t>
            </w:r>
            <w:r>
              <w:rPr>
                <w:rFonts w:hint="default" w:ascii="Calibri" w:hAnsi="Calibri" w:eastAsia="宋体" w:cs="Times New Roman"/>
                <w:kern w:val="2"/>
                <w:sz w:val="21"/>
                <w:szCs w:val="21"/>
                <w:lang w:val="en-US" w:eastAsia="zh-CN" w:bidi="ar-SA"/>
              </w:rPr>
              <w:tab/>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2022.</w:t>
            </w:r>
            <w:r>
              <w:rPr>
                <w:rFonts w:hint="eastAsia" w:ascii="Calibri" w:hAnsi="Calibri" w:eastAsia="宋体" w:cs="Times New Roman"/>
                <w:kern w:val="2"/>
                <w:sz w:val="21"/>
                <w:szCs w:val="21"/>
                <w:lang w:val="en-US" w:eastAsia="zh-CN" w:bidi="ar-SA"/>
              </w:rPr>
              <w:t>4</w:t>
            </w:r>
            <w:r>
              <w:rPr>
                <w:rFonts w:hint="default" w:ascii="Calibri" w:hAnsi="Calibri" w:eastAsia="宋体" w:cs="Times New Roman"/>
                <w:kern w:val="2"/>
                <w:sz w:val="21"/>
                <w:szCs w:val="21"/>
                <w:lang w:val="en-US" w:eastAsia="zh-CN" w:bidi="ar-SA"/>
              </w:rPr>
              <w:t>.12</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按国家标准</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闫丹丹2022.4.3</w:t>
            </w:r>
          </w:p>
          <w:p>
            <w:pPr>
              <w:pStyle w:val="2"/>
              <w:spacing w:line="240" w:lineRule="auto"/>
              <w:rPr>
                <w:rFonts w:hint="default"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t>3</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盘锦旭鸿石油装备有限公司</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不锈钢丝</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φ1.2</w:t>
            </w:r>
            <w:r>
              <w:rPr>
                <w:rFonts w:hint="default" w:ascii="Calibri" w:hAnsi="Calibri" w:eastAsia="宋体" w:cs="Times New Roman"/>
                <w:kern w:val="2"/>
                <w:sz w:val="21"/>
                <w:szCs w:val="21"/>
                <w:lang w:val="en-US" w:eastAsia="zh-CN" w:bidi="ar-SA"/>
              </w:rPr>
              <w:tab/>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1kg</w:t>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2022.</w:t>
            </w:r>
            <w:r>
              <w:rPr>
                <w:rFonts w:hint="eastAsia" w:ascii="Calibri" w:hAnsi="Calibri" w:eastAsia="宋体" w:cs="Times New Roman"/>
                <w:kern w:val="2"/>
                <w:sz w:val="21"/>
                <w:szCs w:val="21"/>
                <w:lang w:val="en-US" w:eastAsia="zh-CN" w:bidi="ar-SA"/>
              </w:rPr>
              <w:t>4</w:t>
            </w:r>
            <w:r>
              <w:rPr>
                <w:rFonts w:hint="default" w:ascii="Calibri" w:hAnsi="Calibri" w:eastAsia="宋体" w:cs="Times New Roman"/>
                <w:kern w:val="2"/>
                <w:sz w:val="21"/>
                <w:szCs w:val="21"/>
                <w:lang w:val="en-US" w:eastAsia="zh-CN" w:bidi="ar-SA"/>
              </w:rPr>
              <w:t>.12</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按国家标准</w:t>
            </w:r>
            <w:r>
              <w:rPr>
                <w:rFonts w:hint="default" w:ascii="Calibri" w:hAnsi="Calibri" w:eastAsia="宋体" w:cs="Times New Roman"/>
                <w:kern w:val="2"/>
                <w:sz w:val="21"/>
                <w:szCs w:val="21"/>
                <w:lang w:val="en-US" w:eastAsia="zh-CN" w:bidi="ar-SA"/>
              </w:rPr>
              <w:tab/>
            </w:r>
            <w:r>
              <w:rPr>
                <w:rFonts w:hint="default" w:ascii="Calibri" w:hAnsi="Calibri" w:eastAsia="宋体" w:cs="Times New Roman"/>
                <w:kern w:val="2"/>
                <w:sz w:val="21"/>
                <w:szCs w:val="21"/>
                <w:lang w:val="en-US" w:eastAsia="zh-CN" w:bidi="ar-SA"/>
              </w:rPr>
              <w:t>闫丹丹2022.4.3</w:t>
            </w:r>
          </w:p>
          <w:p>
            <w:pPr>
              <w:pStyle w:val="15"/>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跟踪</w:t>
            </w:r>
            <w:r>
              <w:rPr>
                <w:rFonts w:hint="eastAsia"/>
                <w:sz w:val="21"/>
                <w:szCs w:val="21"/>
              </w:rPr>
              <w:t>核查相应的采购物资入库验收记录证实公司采购任务满足生产要求、原料库存合理</w:t>
            </w:r>
            <w:r>
              <w:rPr>
                <w:rFonts w:hint="eastAsia" w:ascii="Calibri" w:hAnsi="Calibri" w:eastAsia="宋体" w:cs="Times New Roman"/>
                <w:kern w:val="2"/>
                <w:sz w:val="21"/>
                <w:szCs w:val="21"/>
                <w:lang w:val="en-US" w:eastAsia="zh-CN" w:bidi="ar-SA"/>
              </w:rPr>
              <w:t>，具体见质检部相关记录。</w:t>
            </w:r>
          </w:p>
          <w:p>
            <w:pPr>
              <w:pStyle w:val="15"/>
              <w:rPr>
                <w:rFonts w:hint="eastAsia"/>
                <w:sz w:val="21"/>
                <w:szCs w:val="21"/>
                <w:lang w:val="en-US" w:eastAsia="zh-CN"/>
              </w:rPr>
            </w:pPr>
            <w:r>
              <w:rPr>
                <w:rFonts w:hint="eastAsia" w:ascii="Calibri" w:hAnsi="Calibri" w:eastAsia="宋体" w:cs="Times New Roman"/>
                <w:kern w:val="2"/>
                <w:sz w:val="21"/>
                <w:szCs w:val="21"/>
                <w:lang w:val="en-US" w:eastAsia="zh-CN" w:bidi="ar-SA"/>
              </w:rPr>
              <w:t>抽</w:t>
            </w:r>
            <w:r>
              <w:rPr>
                <w:rFonts w:hint="eastAsia" w:eastAsia="宋体" w:cs="Times New Roman"/>
                <w:kern w:val="2"/>
                <w:sz w:val="21"/>
                <w:szCs w:val="21"/>
                <w:lang w:val="en-US" w:eastAsia="zh-CN" w:bidi="ar-SA"/>
              </w:rPr>
              <w:t>2；</w:t>
            </w:r>
            <w:r>
              <w:rPr>
                <w:rFonts w:hint="eastAsia" w:ascii="Calibri" w:hAnsi="Calibri" w:eastAsia="宋体" w:cs="Times New Roman"/>
                <w:kern w:val="2"/>
                <w:sz w:val="21"/>
                <w:szCs w:val="21"/>
                <w:lang w:val="en-US" w:eastAsia="zh-CN" w:bidi="ar-SA"/>
              </w:rPr>
              <w:t>2022.3.15.</w:t>
            </w:r>
            <w:r>
              <w:rPr>
                <w:rFonts w:hint="eastAsia" w:eastAsia="宋体"/>
                <w:sz w:val="21"/>
                <w:szCs w:val="21"/>
              </w:rPr>
              <w:t>宁津路飞机械有限公司</w:t>
            </w:r>
            <w:r>
              <w:rPr>
                <w:rFonts w:hint="eastAsia"/>
                <w:sz w:val="21"/>
                <w:szCs w:val="21"/>
                <w:lang w:val="en-US" w:eastAsia="zh-CN"/>
              </w:rPr>
              <w:t>的采购合同；采购产品钢材、铝材、铜材等，主要用于仪表仪器的生产、维修、技术服务及最终用于销售或租赁的成品；产品名称、规格、数量、质量标准、运输方式、结算及违约责任等信息清晰明确，权限人及双方公章齐全。</w:t>
            </w:r>
          </w:p>
          <w:p>
            <w:pPr>
              <w:pStyle w:val="2"/>
              <w:spacing w:line="240" w:lineRule="auto"/>
              <w:rPr>
                <w:rFonts w:hint="default" w:ascii="Calibri" w:hAnsi="Calibri" w:eastAsia="宋体" w:cs="Times New Roman"/>
                <w:kern w:val="2"/>
                <w:sz w:val="21"/>
                <w:szCs w:val="21"/>
                <w:lang w:val="en-US" w:eastAsia="zh-CN" w:bidi="ar-SA"/>
              </w:rPr>
            </w:pPr>
            <w:r>
              <w:drawing>
                <wp:inline distT="0" distB="0" distL="114300" distR="114300">
                  <wp:extent cx="3009900" cy="3368040"/>
                  <wp:effectExtent l="0" t="0" r="762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009900" cy="3368040"/>
                          </a:xfrm>
                          <a:prstGeom prst="rect">
                            <a:avLst/>
                          </a:prstGeom>
                          <a:noFill/>
                          <a:ln>
                            <a:noFill/>
                          </a:ln>
                        </pic:spPr>
                      </pic:pic>
                    </a:graphicData>
                  </a:graphic>
                </wp:inline>
              </w:drawing>
            </w:r>
            <w:r>
              <w:drawing>
                <wp:inline distT="0" distB="0" distL="114300" distR="114300">
                  <wp:extent cx="3693795" cy="3301365"/>
                  <wp:effectExtent l="0" t="0" r="952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3693795" cy="3301365"/>
                          </a:xfrm>
                          <a:prstGeom prst="rect">
                            <a:avLst/>
                          </a:prstGeom>
                          <a:noFill/>
                          <a:ln>
                            <a:noFill/>
                          </a:ln>
                        </pic:spPr>
                      </pic:pic>
                    </a:graphicData>
                  </a:graphic>
                </wp:inline>
              </w:drawing>
            </w:r>
          </w:p>
          <w:p>
            <w:pPr>
              <w:pStyle w:val="2"/>
              <w:spacing w:line="240" w:lineRule="auto"/>
              <w:rPr>
                <w:rFonts w:hint="eastAsia" w:eastAsia="宋体"/>
                <w:lang w:val="en-US" w:eastAsia="zh-CN"/>
              </w:rPr>
            </w:pPr>
            <w:r>
              <w:rPr>
                <w:rFonts w:hint="eastAsia" w:ascii="Calibri" w:hAnsi="Calibri" w:eastAsia="宋体" w:cs="Times New Roman"/>
                <w:kern w:val="2"/>
                <w:sz w:val="21"/>
                <w:szCs w:val="21"/>
                <w:lang w:val="en-US" w:eastAsia="zh-CN" w:bidi="ar-SA"/>
              </w:rPr>
              <w:t>跟踪核查其2021.10.15.“供方评定记录表”，评审内容包括主要采购的产品、供应能力评价、技术能力评价、质量能力评价、获得哪些质量认证证书和产品认证（获奖）证书等，评定结论：可列入合格供方名录；签字：李艳玲；日期：2021.10.15；</w:t>
            </w:r>
          </w:p>
          <w:p>
            <w:pPr>
              <w:pStyle w:val="15"/>
              <w:rPr>
                <w:rFonts w:hint="eastAsia"/>
                <w:sz w:val="21"/>
                <w:szCs w:val="21"/>
                <w:lang w:val="en-US" w:eastAsia="zh-CN"/>
              </w:rPr>
            </w:pPr>
            <w:r>
              <w:rPr>
                <w:rFonts w:hint="eastAsia"/>
                <w:sz w:val="21"/>
                <w:szCs w:val="21"/>
                <w:lang w:val="en-US" w:eastAsia="zh-CN"/>
              </w:rPr>
              <w:t>抽3；大庆鑫盛源劳保用品经销有限公司</w:t>
            </w:r>
            <w:r>
              <w:rPr>
                <w:rFonts w:hint="eastAsia" w:eastAsia="宋体"/>
                <w:sz w:val="21"/>
                <w:szCs w:val="21"/>
                <w:lang w:val="en-US" w:eastAsia="zh-CN"/>
              </w:rPr>
              <w:t>，</w:t>
            </w:r>
            <w:r>
              <w:rPr>
                <w:rFonts w:hint="eastAsia"/>
                <w:sz w:val="21"/>
                <w:szCs w:val="21"/>
                <w:lang w:val="en-US" w:eastAsia="zh-CN"/>
              </w:rPr>
              <w:t>采购产品为劳保用品；产品名称、规格、数量、质量标准、运输方式、结算及违约责任等信息清晰明确，权限人及双方公章齐全。</w:t>
            </w:r>
          </w:p>
          <w:p>
            <w:pPr>
              <w:pStyle w:val="15"/>
              <w:rPr>
                <w:rFonts w:hint="eastAsia"/>
                <w:sz w:val="21"/>
                <w:szCs w:val="21"/>
                <w:lang w:val="en-US" w:eastAsia="zh-CN"/>
              </w:rPr>
            </w:pPr>
            <w:r>
              <w:drawing>
                <wp:inline distT="0" distB="0" distL="114300" distR="114300">
                  <wp:extent cx="2580005" cy="2800985"/>
                  <wp:effectExtent l="0" t="0" r="10795"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2580005" cy="2800985"/>
                          </a:xfrm>
                          <a:prstGeom prst="rect">
                            <a:avLst/>
                          </a:prstGeom>
                          <a:noFill/>
                          <a:ln>
                            <a:noFill/>
                          </a:ln>
                        </pic:spPr>
                      </pic:pic>
                    </a:graphicData>
                  </a:graphic>
                </wp:inline>
              </w:drawing>
            </w:r>
            <w:r>
              <w:drawing>
                <wp:inline distT="0" distB="0" distL="114300" distR="114300">
                  <wp:extent cx="3597910" cy="2804160"/>
                  <wp:effectExtent l="0" t="0" r="1397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3597910" cy="2804160"/>
                          </a:xfrm>
                          <a:prstGeom prst="rect">
                            <a:avLst/>
                          </a:prstGeom>
                          <a:noFill/>
                          <a:ln>
                            <a:noFill/>
                          </a:ln>
                        </pic:spPr>
                      </pic:pic>
                    </a:graphicData>
                  </a:graphic>
                </wp:inline>
              </w:drawing>
            </w:r>
          </w:p>
          <w:p>
            <w:pPr>
              <w:pStyle w:val="2"/>
              <w:spacing w:line="240" w:lineRule="auto"/>
              <w:rPr>
                <w:rFonts w:hint="eastAsia"/>
                <w:sz w:val="21"/>
                <w:szCs w:val="21"/>
                <w:lang w:val="en-US" w:eastAsia="zh-CN"/>
              </w:rPr>
            </w:pPr>
            <w:r>
              <w:rPr>
                <w:rFonts w:hint="eastAsia" w:ascii="Calibri" w:hAnsi="Calibri" w:eastAsia="宋体" w:cs="Times New Roman"/>
                <w:kern w:val="2"/>
                <w:sz w:val="21"/>
                <w:szCs w:val="21"/>
                <w:lang w:val="en-US" w:eastAsia="zh-CN" w:bidi="ar-SA"/>
              </w:rPr>
              <w:t>跟踪核查其2021.10.15.“供方评定记录表”，评审内容包括主要采购的产品、供应能力评价、技术能力评价、质量能力评价、获得哪些质量认证证书和产品认证（获奖）证书等，评定结论：可列入合格供方名录；签字：李艳玲；日期：2021.10.15；</w:t>
            </w:r>
          </w:p>
          <w:p>
            <w:pPr>
              <w:pStyle w:val="2"/>
              <w:spacing w:line="240" w:lineRule="auto"/>
              <w:rPr>
                <w:rFonts w:hint="default" w:ascii="Calibri" w:hAnsi="Calibri" w:eastAsia="宋体" w:cs="Times New Roman"/>
                <w:color w:val="FF0000"/>
                <w:kern w:val="2"/>
                <w:sz w:val="21"/>
                <w:szCs w:val="21"/>
                <w:lang w:val="en-US" w:eastAsia="zh-CN" w:bidi="ar-SA"/>
              </w:rPr>
            </w:pPr>
            <w:r>
              <w:rPr>
                <w:rFonts w:hint="eastAsia"/>
                <w:color w:val="FF0000"/>
                <w:sz w:val="21"/>
                <w:szCs w:val="21"/>
                <w:lang w:val="en-US" w:eastAsia="zh-CN"/>
              </w:rPr>
              <w:t>—</w:t>
            </w:r>
            <w:r>
              <w:rPr>
                <w:rFonts w:hint="eastAsia" w:ascii="Calibri" w:hAnsi="Calibri" w:eastAsia="宋体" w:cs="Times New Roman"/>
                <w:color w:val="FF0000"/>
                <w:kern w:val="2"/>
                <w:sz w:val="21"/>
                <w:szCs w:val="21"/>
                <w:lang w:val="en-US" w:eastAsia="zh-CN" w:bidi="ar-SA"/>
              </w:rPr>
              <w:t>—问题点：采购合同上未明确标明时间，跟踪核查其“采购检验记录”，到货检验日期为2022.2.27.</w:t>
            </w:r>
            <w:r>
              <w:rPr>
                <w:rFonts w:hint="eastAsia" w:ascii="Calibri" w:hAnsi="Calibri" w:cs="Times New Roman"/>
                <w:color w:val="FF0000"/>
                <w:kern w:val="2"/>
                <w:sz w:val="21"/>
                <w:szCs w:val="21"/>
                <w:lang w:val="en-US" w:eastAsia="zh-CN" w:bidi="ar-SA"/>
              </w:rPr>
              <w:t>，与负责人口头交流，负责人解释由于是长期客户，以前都是以电话进行口头约定订货，现在由于公司领导贯彻标准的要求，逐步规范合同管理，后期会加强文件记录管理。</w:t>
            </w:r>
          </w:p>
          <w:p>
            <w:pPr>
              <w:pStyle w:val="2"/>
              <w:spacing w:line="240" w:lineRule="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抽4；2021.8.8.北京长城博创科技有限公司委托加工协议，采购产品坐键循环套、坐键短节、悬挂接头等，主要用于仪表仪器的生产、维修、技术服务及最终用于销售或租赁的成品；产品名称、规格、数量、质量标准、运输方式、结算及违约责任等信息清晰明确，权限人及双方公章齐全。</w:t>
            </w:r>
          </w:p>
          <w:p>
            <w:pPr>
              <w:pStyle w:val="2"/>
              <w:spacing w:line="240" w:lineRule="auto"/>
              <w:rPr>
                <w:rFonts w:hint="default"/>
                <w:sz w:val="21"/>
                <w:szCs w:val="21"/>
                <w:lang w:val="en-US" w:eastAsia="zh-CN"/>
              </w:rPr>
            </w:pPr>
            <w:r>
              <w:drawing>
                <wp:inline distT="0" distB="0" distL="114300" distR="114300">
                  <wp:extent cx="2908300" cy="3257550"/>
                  <wp:effectExtent l="0" t="0" r="254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2908300" cy="3257550"/>
                          </a:xfrm>
                          <a:prstGeom prst="rect">
                            <a:avLst/>
                          </a:prstGeom>
                          <a:noFill/>
                          <a:ln>
                            <a:noFill/>
                          </a:ln>
                        </pic:spPr>
                      </pic:pic>
                    </a:graphicData>
                  </a:graphic>
                </wp:inline>
              </w:drawing>
            </w:r>
            <w:r>
              <w:drawing>
                <wp:inline distT="0" distB="0" distL="114300" distR="114300">
                  <wp:extent cx="3068955" cy="3270885"/>
                  <wp:effectExtent l="0" t="0" r="952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3068955" cy="3270885"/>
                          </a:xfrm>
                          <a:prstGeom prst="rect">
                            <a:avLst/>
                          </a:prstGeom>
                          <a:noFill/>
                          <a:ln>
                            <a:noFill/>
                          </a:ln>
                        </pic:spPr>
                      </pic:pic>
                    </a:graphicData>
                  </a:graphic>
                </wp:inline>
              </w:drawing>
            </w:r>
          </w:p>
          <w:p>
            <w:pPr>
              <w:pStyle w:val="2"/>
              <w:spacing w:line="240" w:lineRule="auto"/>
              <w:rPr>
                <w:rFonts w:hint="default"/>
                <w:sz w:val="21"/>
                <w:szCs w:val="21"/>
                <w:lang w:val="en-US" w:eastAsia="zh-CN"/>
              </w:rPr>
            </w:pPr>
            <w:r>
              <w:rPr>
                <w:rFonts w:hint="eastAsia"/>
                <w:color w:val="FF0000"/>
                <w:sz w:val="21"/>
                <w:szCs w:val="21"/>
                <w:lang w:val="en-US" w:eastAsia="zh-CN"/>
              </w:rPr>
              <w:t>——不符合：</w:t>
            </w:r>
            <w:r>
              <w:rPr>
                <w:rFonts w:hint="eastAsia"/>
                <w:b/>
                <w:bCs/>
                <w:color w:val="FF0000"/>
                <w:sz w:val="21"/>
                <w:szCs w:val="21"/>
                <w:lang w:val="en-US" w:eastAsia="zh-CN"/>
              </w:rPr>
              <w:t>跟踪核查其供方评审资料时企业未能提供该合格供方的评审记录。</w:t>
            </w:r>
          </w:p>
          <w:p>
            <w:pPr>
              <w:pStyle w:val="2"/>
              <w:spacing w:line="240" w:lineRule="auto"/>
              <w:rPr>
                <w:rFonts w:hint="default"/>
                <w:sz w:val="21"/>
                <w:szCs w:val="21"/>
                <w:lang w:val="en-US" w:eastAsia="zh-CN"/>
              </w:rPr>
            </w:pPr>
          </w:p>
          <w:p>
            <w:pPr>
              <w:pStyle w:val="2"/>
              <w:spacing w:line="240" w:lineRule="auto"/>
              <w:rPr>
                <w:rFonts w:hint="default"/>
                <w:sz w:val="21"/>
                <w:szCs w:val="21"/>
                <w:lang w:val="en-US" w:eastAsia="zh-CN"/>
              </w:rPr>
            </w:pPr>
          </w:p>
          <w:p>
            <w:pPr>
              <w:pStyle w:val="2"/>
              <w:spacing w:line="240" w:lineRule="auto"/>
              <w:rPr>
                <w:rFonts w:hint="default"/>
                <w:sz w:val="21"/>
                <w:szCs w:val="21"/>
                <w:lang w:val="en-US" w:eastAsia="zh-CN"/>
              </w:rPr>
            </w:pPr>
          </w:p>
        </w:tc>
        <w:tc>
          <w:tcPr>
            <w:tcW w:w="538" w:type="pct"/>
            <w:vAlign w:val="center"/>
          </w:tcPr>
          <w:p>
            <w:pPr>
              <w:spacing w:line="240" w:lineRule="auto"/>
              <w:rPr>
                <w:rFonts w:hint="eastAsia"/>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default" w:eastAsia="宋体"/>
                <w:sz w:val="21"/>
                <w:szCs w:val="21"/>
                <w:lang w:val="en-US" w:eastAsia="zh-CN"/>
              </w:rPr>
            </w:pPr>
            <w:r>
              <w:rPr>
                <w:rFonts w:hint="eastAsia"/>
                <w:color w:val="FF0000"/>
                <w:sz w:val="21"/>
                <w:szCs w:val="21"/>
                <w:lang w:val="en-US" w:eastAsia="zh-CN"/>
              </w:rPr>
              <w:t>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sz w:val="21"/>
                <w:szCs w:val="21"/>
              </w:rPr>
            </w:pPr>
            <w:r>
              <w:rPr>
                <w:rFonts w:hint="eastAsia"/>
                <w:sz w:val="21"/>
                <w:szCs w:val="21"/>
              </w:rPr>
              <w:t>运行的控制</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ES8.1</w:t>
            </w:r>
          </w:p>
        </w:tc>
        <w:tc>
          <w:tcPr>
            <w:tcW w:w="3402" w:type="pct"/>
            <w:vAlign w:val="center"/>
          </w:tcPr>
          <w:p>
            <w:pPr>
              <w:pStyle w:val="2"/>
              <w:spacing w:line="240" w:lineRule="auto"/>
              <w:rPr>
                <w:rFonts w:hint="eastAsia"/>
                <w:sz w:val="21"/>
                <w:szCs w:val="21"/>
                <w:lang w:val="en-US" w:eastAsia="zh-CN"/>
              </w:rPr>
            </w:pPr>
            <w:r>
              <w:rPr>
                <w:rFonts w:hint="eastAsia"/>
                <w:sz w:val="21"/>
                <w:szCs w:val="21"/>
                <w:lang w:val="en-US" w:eastAsia="zh-CN"/>
              </w:rPr>
              <w:t>---策划有“环境和职业健康安全运行控制程序”及环境、安全管理方案。</w:t>
            </w:r>
          </w:p>
          <w:p>
            <w:pPr>
              <w:pStyle w:val="2"/>
              <w:spacing w:line="240" w:lineRule="auto"/>
              <w:rPr>
                <w:rFonts w:hint="eastAsia"/>
                <w:sz w:val="21"/>
                <w:szCs w:val="21"/>
                <w:lang w:val="en-US" w:eastAsia="zh-CN"/>
              </w:rPr>
            </w:pPr>
            <w:r>
              <w:rPr>
                <w:rFonts w:hint="eastAsia"/>
                <w:sz w:val="21"/>
                <w:szCs w:val="21"/>
                <w:lang w:val="en-US" w:eastAsia="zh-CN"/>
              </w:rPr>
              <w:t>---远程视频查看办公场所配备有空调、照明灯具、办公家具、垃圾筐、ＡＢＣ灭火器8只，定置存放，有效。办公场所整洁，未发现固废随意排放情况，办公及生活垃圾按物业要求放置，未发现有违规用电／用火情况，未发现有明显的安全隐患，生活污水排入市政管网。</w:t>
            </w:r>
          </w:p>
          <w:p>
            <w:pPr>
              <w:pStyle w:val="2"/>
              <w:spacing w:line="240" w:lineRule="auto"/>
              <w:rPr>
                <w:rFonts w:hint="eastAsia"/>
                <w:sz w:val="21"/>
                <w:szCs w:val="21"/>
                <w:lang w:val="en-US" w:eastAsia="zh-CN"/>
              </w:rPr>
            </w:pPr>
            <w:r>
              <w:rPr>
                <w:rFonts w:hint="eastAsia"/>
                <w:sz w:val="21"/>
                <w:szCs w:val="21"/>
                <w:lang w:val="en-US" w:eastAsia="zh-CN"/>
              </w:rPr>
              <w:t>---“ 办公固废处置记录”，</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98"/>
              <w:gridCol w:w="1480"/>
              <w:gridCol w:w="623"/>
              <w:gridCol w:w="744"/>
              <w:gridCol w:w="663"/>
              <w:gridCol w:w="588"/>
              <w:gridCol w:w="826"/>
              <w:gridCol w:w="776"/>
              <w:gridCol w:w="1181"/>
              <w:gridCol w:w="1327"/>
              <w:gridCol w:w="875"/>
              <w:gridCol w:w="7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98" w:type="dxa"/>
                  <w:tcBorders>
                    <w:top w:val="single" w:color="auto" w:sz="4" w:space="0"/>
                    <w:left w:val="single" w:color="auto" w:sz="12" w:space="0"/>
                    <w:bottom w:val="single" w:color="auto" w:sz="4" w:space="0"/>
                    <w:right w:val="single" w:color="auto" w:sz="4" w:space="0"/>
                  </w:tcBorders>
                  <w:noWrap w:val="0"/>
                  <w:vAlign w:val="center"/>
                </w:tcPr>
                <w:p>
                  <w:pPr>
                    <w:spacing w:line="360" w:lineRule="exact"/>
                    <w:jc w:val="center"/>
                    <w:rPr>
                      <w:rFonts w:hint="eastAsia" w:eastAsia="黑体"/>
                      <w:sz w:val="18"/>
                      <w:szCs w:val="18"/>
                    </w:rPr>
                  </w:pPr>
                  <w:r>
                    <w:rPr>
                      <w:rFonts w:hint="eastAsia" w:eastAsia="黑体"/>
                      <w:sz w:val="18"/>
                      <w:szCs w:val="18"/>
                    </w:rPr>
                    <w:t>1</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墨盒</w:t>
                  </w:r>
                </w:p>
              </w:tc>
              <w:tc>
                <w:tcPr>
                  <w:tcW w:w="62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固废</w:t>
                  </w:r>
                </w:p>
              </w:tc>
              <w:tc>
                <w:tcPr>
                  <w:tcW w:w="74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1个</w:t>
                  </w:r>
                </w:p>
              </w:tc>
              <w:tc>
                <w:tcPr>
                  <w:tcW w:w="5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办公</w:t>
                  </w:r>
                </w:p>
              </w:tc>
              <w:tc>
                <w:tcPr>
                  <w:tcW w:w="7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回收</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耗材供方回收</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2021-11-20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sz w:val="18"/>
                      <w:szCs w:val="18"/>
                    </w:rPr>
                    <w:t>李艳玲</w:t>
                  </w:r>
                </w:p>
              </w:tc>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sz w:val="18"/>
                      <w:szCs w:val="18"/>
                    </w:rPr>
                    <w:t>闫丹丹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398" w:type="dxa"/>
                  <w:tcBorders>
                    <w:top w:val="single" w:color="auto" w:sz="4" w:space="0"/>
                    <w:left w:val="single" w:color="auto" w:sz="12" w:space="0"/>
                    <w:bottom w:val="single" w:color="auto" w:sz="4" w:space="0"/>
                    <w:right w:val="single" w:color="auto" w:sz="4" w:space="0"/>
                  </w:tcBorders>
                  <w:noWrap w:val="0"/>
                  <w:vAlign w:val="center"/>
                </w:tcPr>
                <w:p>
                  <w:pPr>
                    <w:spacing w:line="680" w:lineRule="exact"/>
                    <w:jc w:val="center"/>
                    <w:rPr>
                      <w:rFonts w:hint="eastAsia" w:eastAsia="黑体"/>
                      <w:sz w:val="18"/>
                      <w:szCs w:val="18"/>
                    </w:rPr>
                  </w:pPr>
                  <w:r>
                    <w:rPr>
                      <w:rFonts w:hint="eastAsia" w:eastAsia="黑体"/>
                      <w:sz w:val="18"/>
                      <w:szCs w:val="18"/>
                    </w:rPr>
                    <w:t>2</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硒鼓</w:t>
                  </w:r>
                </w:p>
              </w:tc>
              <w:tc>
                <w:tcPr>
                  <w:tcW w:w="62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固废</w:t>
                  </w:r>
                </w:p>
              </w:tc>
              <w:tc>
                <w:tcPr>
                  <w:tcW w:w="74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p>
              </w:tc>
              <w:tc>
                <w:tcPr>
                  <w:tcW w:w="6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1个</w:t>
                  </w:r>
                </w:p>
              </w:tc>
              <w:tc>
                <w:tcPr>
                  <w:tcW w:w="58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办公</w:t>
                  </w:r>
                </w:p>
              </w:tc>
              <w:tc>
                <w:tcPr>
                  <w:tcW w:w="7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回收</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耗材供方回收</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ascii="宋体" w:hAnsi="宋体" w:cs="宋体"/>
                      <w:sz w:val="18"/>
                      <w:szCs w:val="18"/>
                    </w:rPr>
                    <w:t>2021-11-20</w:t>
                  </w:r>
                </w:p>
              </w:tc>
              <w:tc>
                <w:tcPr>
                  <w:tcW w:w="8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sz w:val="18"/>
                      <w:szCs w:val="18"/>
                    </w:rPr>
                    <w:t>李艳玲</w:t>
                  </w:r>
                </w:p>
              </w:tc>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sz w:val="18"/>
                      <w:szCs w:val="18"/>
                    </w:rPr>
                    <w:t>闫丹丹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398" w:type="dxa"/>
                  <w:tcBorders>
                    <w:top w:val="single" w:color="auto" w:sz="4" w:space="0"/>
                    <w:left w:val="single" w:color="auto" w:sz="12" w:space="0"/>
                    <w:bottom w:val="single" w:color="auto" w:sz="4" w:space="0"/>
                    <w:right w:val="single" w:color="auto" w:sz="4" w:space="0"/>
                  </w:tcBorders>
                  <w:noWrap w:val="0"/>
                  <w:vAlign w:val="center"/>
                </w:tcPr>
                <w:p>
                  <w:pPr>
                    <w:spacing w:line="680" w:lineRule="exact"/>
                    <w:jc w:val="center"/>
                    <w:rPr>
                      <w:rFonts w:hint="eastAsia" w:eastAsia="黑体"/>
                      <w:sz w:val="18"/>
                      <w:szCs w:val="18"/>
                    </w:rPr>
                  </w:pPr>
                  <w:r>
                    <w:rPr>
                      <w:rFonts w:hint="eastAsia" w:eastAsia="黑体"/>
                      <w:sz w:val="18"/>
                      <w:szCs w:val="18"/>
                    </w:rPr>
                    <w:t>3</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废旧报纸、书刊</w:t>
                  </w:r>
                </w:p>
              </w:tc>
              <w:tc>
                <w:tcPr>
                  <w:tcW w:w="6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固废</w:t>
                  </w:r>
                </w:p>
              </w:tc>
              <w:tc>
                <w:tcPr>
                  <w:tcW w:w="744"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14kg</w:t>
                  </w:r>
                </w:p>
              </w:tc>
              <w:tc>
                <w:tcPr>
                  <w:tcW w:w="663"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p>
              </w:tc>
              <w:tc>
                <w:tcPr>
                  <w:tcW w:w="588"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办公</w:t>
                  </w:r>
                </w:p>
              </w:tc>
              <w:tc>
                <w:tcPr>
                  <w:tcW w:w="776"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暂存仓库</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废旧回收站</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sz w:val="18"/>
                      <w:szCs w:val="18"/>
                    </w:rPr>
                  </w:pPr>
                  <w:r>
                    <w:rPr>
                      <w:rFonts w:hint="eastAsia" w:ascii="宋体" w:hAnsi="宋体" w:cs="宋体"/>
                      <w:sz w:val="18"/>
                      <w:szCs w:val="18"/>
                    </w:rPr>
                    <w:t>2022-1-11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sz w:val="18"/>
                      <w:szCs w:val="18"/>
                    </w:rPr>
                    <w:t>李艳玲</w:t>
                  </w:r>
                </w:p>
              </w:tc>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sz w:val="18"/>
                      <w:szCs w:val="18"/>
                    </w:rPr>
                    <w:t>闫丹丹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398" w:type="dxa"/>
                  <w:tcBorders>
                    <w:top w:val="single" w:color="auto" w:sz="4" w:space="0"/>
                    <w:left w:val="single" w:color="auto" w:sz="12" w:space="0"/>
                    <w:bottom w:val="single" w:color="auto" w:sz="4" w:space="0"/>
                    <w:right w:val="single" w:color="auto" w:sz="4" w:space="0"/>
                  </w:tcBorders>
                  <w:noWrap w:val="0"/>
                  <w:vAlign w:val="center"/>
                </w:tcPr>
                <w:p>
                  <w:pPr>
                    <w:spacing w:line="680" w:lineRule="exact"/>
                    <w:jc w:val="center"/>
                    <w:rPr>
                      <w:rFonts w:hint="eastAsia" w:eastAsia="黑体"/>
                      <w:sz w:val="18"/>
                      <w:szCs w:val="18"/>
                    </w:rPr>
                  </w:pPr>
                  <w:r>
                    <w:rPr>
                      <w:rFonts w:hint="eastAsia" w:eastAsia="黑体"/>
                      <w:sz w:val="18"/>
                      <w:szCs w:val="18"/>
                    </w:rPr>
                    <w:t>4</w:t>
                  </w:r>
                </w:p>
              </w:tc>
              <w:tc>
                <w:tcPr>
                  <w:tcW w:w="14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废旧笔芯</w:t>
                  </w:r>
                </w:p>
              </w:tc>
              <w:tc>
                <w:tcPr>
                  <w:tcW w:w="62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18"/>
                      <w:szCs w:val="18"/>
                    </w:rPr>
                  </w:pPr>
                  <w:r>
                    <w:rPr>
                      <w:rFonts w:hint="eastAsia" w:ascii="宋体" w:hAnsi="宋体" w:cs="宋体"/>
                      <w:sz w:val="18"/>
                      <w:szCs w:val="18"/>
                    </w:rPr>
                    <w:t>固废</w:t>
                  </w:r>
                </w:p>
              </w:tc>
              <w:tc>
                <w:tcPr>
                  <w:tcW w:w="744"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10支</w:t>
                  </w:r>
                </w:p>
              </w:tc>
              <w:tc>
                <w:tcPr>
                  <w:tcW w:w="663"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p>
              </w:tc>
              <w:tc>
                <w:tcPr>
                  <w:tcW w:w="588"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办公</w:t>
                  </w:r>
                </w:p>
              </w:tc>
              <w:tc>
                <w:tcPr>
                  <w:tcW w:w="776"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暂存仓库</w:t>
                  </w:r>
                </w:p>
              </w:tc>
              <w:tc>
                <w:tcPr>
                  <w:tcW w:w="1181" w:type="dxa"/>
                  <w:tcBorders>
                    <w:top w:val="single" w:color="auto" w:sz="4" w:space="0"/>
                    <w:left w:val="single" w:color="auto" w:sz="4" w:space="0"/>
                    <w:bottom w:val="single" w:color="auto" w:sz="4" w:space="0"/>
                    <w:right w:val="single" w:color="auto" w:sz="4" w:space="0"/>
                  </w:tcBorders>
                  <w:noWrap w:val="0"/>
                  <w:vAlign w:val="center"/>
                </w:tcPr>
                <w:p>
                  <w:pPr>
                    <w:spacing w:line="680" w:lineRule="exact"/>
                    <w:jc w:val="center"/>
                    <w:rPr>
                      <w:rFonts w:hint="eastAsia" w:ascii="宋体" w:hAnsi="宋体" w:cs="宋体"/>
                      <w:sz w:val="18"/>
                      <w:szCs w:val="18"/>
                    </w:rPr>
                  </w:pPr>
                  <w:r>
                    <w:rPr>
                      <w:rFonts w:hint="eastAsia" w:ascii="宋体" w:hAnsi="宋体" w:cs="宋体"/>
                      <w:sz w:val="18"/>
                      <w:szCs w:val="18"/>
                    </w:rPr>
                    <w:t>交物业处理</w:t>
                  </w:r>
                </w:p>
              </w:tc>
              <w:tc>
                <w:tcPr>
                  <w:tcW w:w="132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宋体"/>
                      <w:sz w:val="18"/>
                      <w:szCs w:val="18"/>
                    </w:rPr>
                  </w:pPr>
                  <w:r>
                    <w:rPr>
                      <w:rFonts w:hint="eastAsia" w:ascii="宋体" w:hAnsi="宋体" w:cs="宋体"/>
                      <w:sz w:val="18"/>
                      <w:szCs w:val="18"/>
                    </w:rPr>
                    <w:t>2022-1-11</w:t>
                  </w:r>
                </w:p>
              </w:tc>
              <w:tc>
                <w:tcPr>
                  <w:tcW w:w="8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rFonts w:hint="eastAsia"/>
                      <w:sz w:val="18"/>
                      <w:szCs w:val="18"/>
                    </w:rPr>
                    <w:t>李艳玲</w:t>
                  </w:r>
                </w:p>
              </w:tc>
              <w:tc>
                <w:tcPr>
                  <w:tcW w:w="77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18"/>
                      <w:szCs w:val="18"/>
                    </w:rPr>
                  </w:pPr>
                  <w:r>
                    <w:rPr>
                      <w:sz w:val="18"/>
                      <w:szCs w:val="18"/>
                    </w:rPr>
                    <w:t>闫丹丹</w:t>
                  </w:r>
                </w:p>
              </w:tc>
            </w:tr>
          </w:tbl>
          <w:p>
            <w:pPr>
              <w:pStyle w:val="2"/>
              <w:spacing w:line="240" w:lineRule="auto"/>
              <w:rPr>
                <w:rFonts w:hint="eastAsia"/>
                <w:sz w:val="21"/>
                <w:szCs w:val="21"/>
                <w:lang w:val="en-US" w:eastAsia="zh-CN"/>
              </w:rPr>
            </w:pPr>
          </w:p>
          <w:p>
            <w:pPr>
              <w:pStyle w:val="2"/>
              <w:spacing w:line="240" w:lineRule="auto"/>
              <w:rPr>
                <w:rFonts w:hint="eastAsia"/>
                <w:sz w:val="21"/>
                <w:szCs w:val="21"/>
                <w:lang w:val="en-US" w:eastAsia="zh-CN"/>
              </w:rPr>
            </w:pPr>
            <w:r>
              <w:rPr>
                <w:rFonts w:hint="eastAsia"/>
                <w:sz w:val="21"/>
                <w:szCs w:val="21"/>
                <w:lang w:val="en-US" w:eastAsia="zh-CN"/>
              </w:rPr>
              <w:t>---查2022年Q1“消防安全检查记录表”：</w:t>
            </w:r>
          </w:p>
          <w:tbl>
            <w:tblPr>
              <w:tblStyle w:val="7"/>
              <w:tblW w:w="0" w:type="auto"/>
              <w:tblInd w:w="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957"/>
              <w:gridCol w:w="2315"/>
              <w:gridCol w:w="3489"/>
              <w:gridCol w:w="1313"/>
              <w:gridCol w:w="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565" w:type="dxa"/>
                  <w:noWrap w:val="0"/>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957" w:type="dxa"/>
                  <w:noWrap w:val="0"/>
                  <w:vAlign w:val="center"/>
                </w:tcPr>
                <w:p>
                  <w:pPr>
                    <w:widowControl/>
                    <w:jc w:val="center"/>
                    <w:rPr>
                      <w:rFonts w:ascii="宋体" w:hAnsi="宋体" w:cs="宋体"/>
                      <w:kern w:val="0"/>
                      <w:sz w:val="18"/>
                      <w:szCs w:val="18"/>
                    </w:rPr>
                  </w:pPr>
                  <w:r>
                    <w:rPr>
                      <w:rFonts w:hint="eastAsia" w:ascii="宋体" w:hAnsi="宋体" w:cs="宋体"/>
                      <w:kern w:val="0"/>
                      <w:sz w:val="18"/>
                      <w:szCs w:val="18"/>
                    </w:rPr>
                    <w:t>检查区域/</w:t>
                  </w:r>
                </w:p>
                <w:p>
                  <w:pPr>
                    <w:jc w:val="center"/>
                    <w:rPr>
                      <w:rFonts w:ascii="宋体" w:hAnsi="宋体" w:cs="宋体"/>
                      <w:kern w:val="0"/>
                      <w:sz w:val="18"/>
                      <w:szCs w:val="18"/>
                    </w:rPr>
                  </w:pPr>
                  <w:r>
                    <w:rPr>
                      <w:rFonts w:hint="eastAsia" w:ascii="宋体" w:hAnsi="宋体" w:cs="宋体"/>
                      <w:kern w:val="0"/>
                      <w:sz w:val="18"/>
                      <w:szCs w:val="18"/>
                    </w:rPr>
                    <w:t>被检查部门</w:t>
                  </w:r>
                </w:p>
              </w:tc>
              <w:tc>
                <w:tcPr>
                  <w:tcW w:w="2315" w:type="dxa"/>
                  <w:noWrap w:val="0"/>
                  <w:vAlign w:val="center"/>
                </w:tcPr>
                <w:p>
                  <w:pPr>
                    <w:tabs>
                      <w:tab w:val="left" w:pos="824"/>
                      <w:tab w:val="center" w:pos="1812"/>
                    </w:tabs>
                    <w:jc w:val="left"/>
                    <w:rPr>
                      <w:rFonts w:ascii="宋体" w:hAnsi="宋体" w:cs="宋体"/>
                      <w:kern w:val="0"/>
                      <w:sz w:val="18"/>
                      <w:szCs w:val="18"/>
                    </w:rPr>
                  </w:pPr>
                  <w:r>
                    <w:rPr>
                      <w:rFonts w:hint="eastAsia" w:ascii="宋体" w:hAnsi="宋体" w:cs="宋体"/>
                      <w:kern w:val="0"/>
                      <w:sz w:val="18"/>
                      <w:szCs w:val="18"/>
                    </w:rPr>
                    <w:tab/>
                  </w:r>
                  <w:r>
                    <w:rPr>
                      <w:rFonts w:hint="eastAsia" w:ascii="宋体" w:hAnsi="宋体" w:cs="宋体"/>
                      <w:kern w:val="0"/>
                      <w:sz w:val="18"/>
                      <w:szCs w:val="18"/>
                    </w:rPr>
                    <w:tab/>
                  </w:r>
                  <w:r>
                    <w:rPr>
                      <w:rFonts w:hint="eastAsia" w:ascii="宋体" w:hAnsi="宋体" w:cs="宋体"/>
                      <w:kern w:val="0"/>
                      <w:sz w:val="18"/>
                      <w:szCs w:val="18"/>
                    </w:rPr>
                    <w:t>检查内容</w:t>
                  </w:r>
                </w:p>
              </w:tc>
              <w:tc>
                <w:tcPr>
                  <w:tcW w:w="3489" w:type="dxa"/>
                  <w:noWrap w:val="0"/>
                  <w:vAlign w:val="center"/>
                </w:tcPr>
                <w:p>
                  <w:pPr>
                    <w:widowControl/>
                    <w:jc w:val="center"/>
                    <w:rPr>
                      <w:rFonts w:ascii="宋体" w:hAnsi="宋体" w:cs="宋体"/>
                      <w:kern w:val="0"/>
                      <w:sz w:val="18"/>
                      <w:szCs w:val="18"/>
                    </w:rPr>
                  </w:pPr>
                  <w:r>
                    <w:rPr>
                      <w:rFonts w:hint="eastAsia" w:ascii="宋体" w:hAnsi="宋体" w:cs="宋体"/>
                      <w:kern w:val="0"/>
                      <w:sz w:val="18"/>
                      <w:szCs w:val="18"/>
                    </w:rPr>
                    <w:t>检查结果记录</w:t>
                  </w:r>
                </w:p>
              </w:tc>
              <w:tc>
                <w:tcPr>
                  <w:tcW w:w="1313"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监测检查</w:t>
                  </w:r>
                </w:p>
                <w:p>
                  <w:pPr>
                    <w:widowControl/>
                    <w:jc w:val="center"/>
                    <w:rPr>
                      <w:rFonts w:hint="eastAsia" w:ascii="宋体" w:hAnsi="宋体" w:cs="宋体"/>
                      <w:kern w:val="0"/>
                      <w:sz w:val="18"/>
                      <w:szCs w:val="18"/>
                    </w:rPr>
                  </w:pPr>
                  <w:r>
                    <w:rPr>
                      <w:rFonts w:hint="eastAsia" w:ascii="宋体" w:hAnsi="宋体" w:cs="宋体"/>
                      <w:kern w:val="0"/>
                      <w:sz w:val="18"/>
                      <w:szCs w:val="18"/>
                    </w:rPr>
                    <w:t>日期</w:t>
                  </w:r>
                </w:p>
              </w:tc>
              <w:tc>
                <w:tcPr>
                  <w:tcW w:w="958" w:type="dxa"/>
                  <w:noWrap w:val="0"/>
                  <w:vAlign w:val="center"/>
                </w:tcPr>
                <w:p>
                  <w:pPr>
                    <w:jc w:val="center"/>
                    <w:rPr>
                      <w:rFonts w:hint="eastAsia" w:ascii="宋体" w:hAnsi="宋体" w:cs="宋体"/>
                      <w:kern w:val="0"/>
                      <w:sz w:val="18"/>
                      <w:szCs w:val="18"/>
                    </w:rPr>
                  </w:pPr>
                  <w:r>
                    <w:rPr>
                      <w:rFonts w:hint="eastAsia" w:ascii="宋体" w:hAnsi="宋体" w:cs="宋体"/>
                      <w:kern w:val="0"/>
                      <w:sz w:val="18"/>
                      <w:szCs w:val="18"/>
                    </w:rPr>
                    <w:t>检查人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565"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w:t>
                  </w:r>
                </w:p>
              </w:tc>
              <w:tc>
                <w:tcPr>
                  <w:tcW w:w="957"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办公区域</w:t>
                  </w:r>
                </w:p>
              </w:tc>
              <w:tc>
                <w:tcPr>
                  <w:tcW w:w="2315" w:type="dxa"/>
                  <w:noWrap w:val="0"/>
                  <w:vAlign w:val="center"/>
                </w:tcPr>
                <w:p>
                  <w:pPr>
                    <w:widowControl/>
                    <w:jc w:val="left"/>
                    <w:rPr>
                      <w:rFonts w:hint="eastAsia" w:ascii="宋体" w:hAnsi="宋体" w:cs="宋体"/>
                      <w:kern w:val="0"/>
                      <w:sz w:val="18"/>
                      <w:szCs w:val="18"/>
                    </w:rPr>
                  </w:pPr>
                  <w:r>
                    <w:rPr>
                      <w:rFonts w:hint="eastAsia" w:ascii="宋体" w:hAnsi="宋体" w:cs="宋体"/>
                      <w:kern w:val="0"/>
                      <w:sz w:val="18"/>
                      <w:szCs w:val="18"/>
                    </w:rPr>
                    <w:t>消防器材的配置是否合理，消防栓、灭火器是否符合要求。安全通道、标识是否适宜。办公安全用电等火灾隐患控制是否有效。</w:t>
                  </w:r>
                </w:p>
              </w:tc>
              <w:tc>
                <w:tcPr>
                  <w:tcW w:w="3489" w:type="dxa"/>
                  <w:noWrap w:val="0"/>
                  <w:vAlign w:val="center"/>
                </w:tcPr>
                <w:p>
                  <w:pPr>
                    <w:widowControl/>
                    <w:jc w:val="left"/>
                    <w:rPr>
                      <w:rFonts w:hint="eastAsia" w:ascii="宋体" w:hAnsi="宋体" w:cs="宋体"/>
                      <w:kern w:val="0"/>
                      <w:sz w:val="18"/>
                      <w:szCs w:val="18"/>
                    </w:rPr>
                  </w:pPr>
                  <w:r>
                    <w:rPr>
                      <w:rFonts w:hint="eastAsia" w:ascii="宋体" w:hAnsi="宋体" w:cs="宋体"/>
                      <w:kern w:val="0"/>
                      <w:sz w:val="18"/>
                      <w:szCs w:val="18"/>
                    </w:rPr>
                    <w:t>公司配备消防器材，消防栓、灭火器符合要求。安全通道、标识适宜。</w:t>
                  </w:r>
                </w:p>
                <w:p>
                  <w:pPr>
                    <w:widowControl/>
                    <w:jc w:val="left"/>
                    <w:rPr>
                      <w:rFonts w:hint="eastAsia" w:ascii="宋体" w:hAnsi="宋体" w:cs="宋体"/>
                      <w:kern w:val="0"/>
                      <w:sz w:val="18"/>
                      <w:szCs w:val="18"/>
                    </w:rPr>
                  </w:pPr>
                </w:p>
                <w:p>
                  <w:pPr>
                    <w:widowControl/>
                    <w:jc w:val="left"/>
                    <w:rPr>
                      <w:rFonts w:hint="eastAsia" w:ascii="宋体" w:hAnsi="宋体" w:cs="宋体"/>
                      <w:kern w:val="0"/>
                      <w:sz w:val="18"/>
                      <w:szCs w:val="18"/>
                    </w:rPr>
                  </w:pPr>
                  <w:r>
                    <w:rPr>
                      <w:rFonts w:hint="eastAsia" w:ascii="宋体" w:hAnsi="宋体" w:cs="宋体"/>
                      <w:kern w:val="0"/>
                      <w:sz w:val="18"/>
                      <w:szCs w:val="18"/>
                    </w:rPr>
                    <w:t>办公安全用电等火灾隐患控制是否有效。</w:t>
                  </w:r>
                </w:p>
              </w:tc>
              <w:tc>
                <w:tcPr>
                  <w:tcW w:w="1313" w:type="dxa"/>
                  <w:noWrap w:val="0"/>
                  <w:vAlign w:val="center"/>
                </w:tcPr>
                <w:p>
                  <w:pPr>
                    <w:rPr>
                      <w:rFonts w:ascii="宋体" w:hAnsi="宋体" w:cs="宋体"/>
                      <w:kern w:val="0"/>
                      <w:sz w:val="18"/>
                      <w:szCs w:val="18"/>
                    </w:rPr>
                  </w:pPr>
                  <w:r>
                    <w:rPr>
                      <w:rFonts w:hint="eastAsia"/>
                      <w:sz w:val="18"/>
                      <w:szCs w:val="18"/>
                    </w:rPr>
                    <w:t>2022-3-30</w:t>
                  </w:r>
                </w:p>
              </w:tc>
              <w:tc>
                <w:tcPr>
                  <w:tcW w:w="958" w:type="dxa"/>
                  <w:noWrap w:val="0"/>
                  <w:vAlign w:val="center"/>
                </w:tcPr>
                <w:p>
                  <w:pPr>
                    <w:widowControl/>
                    <w:jc w:val="center"/>
                    <w:rPr>
                      <w:rFonts w:hint="eastAsia" w:ascii="宋体" w:hAnsi="宋体" w:cs="宋体"/>
                      <w:kern w:val="0"/>
                      <w:sz w:val="18"/>
                      <w:szCs w:val="18"/>
                    </w:rPr>
                  </w:pPr>
                  <w:r>
                    <w:rPr>
                      <w:rFonts w:hint="eastAsia"/>
                      <w:sz w:val="18"/>
                      <w:szCs w:val="18"/>
                    </w:rPr>
                    <w:t>李艳玲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565"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957"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走廊过道</w:t>
                  </w:r>
                </w:p>
              </w:tc>
              <w:tc>
                <w:tcPr>
                  <w:tcW w:w="2315" w:type="dxa"/>
                  <w:noWrap w:val="0"/>
                  <w:vAlign w:val="center"/>
                </w:tcPr>
                <w:p>
                  <w:pPr>
                    <w:widowControl/>
                    <w:rPr>
                      <w:rFonts w:hint="eastAsia" w:ascii="宋体" w:hAnsi="宋体" w:cs="宋体"/>
                      <w:kern w:val="0"/>
                      <w:sz w:val="18"/>
                      <w:szCs w:val="18"/>
                    </w:rPr>
                  </w:pPr>
                  <w:r>
                    <w:rPr>
                      <w:rFonts w:hint="eastAsia" w:ascii="宋体" w:hAnsi="宋体" w:cs="宋体"/>
                      <w:kern w:val="0"/>
                      <w:sz w:val="18"/>
                      <w:szCs w:val="18"/>
                    </w:rPr>
                    <w:t>消防器材的配置是否合理，消防栓、灭火器是否符合要求。安全通道、标识是否适宜。</w:t>
                  </w:r>
                </w:p>
                <w:p>
                  <w:pPr>
                    <w:widowControl/>
                    <w:rPr>
                      <w:rFonts w:hint="eastAsia" w:ascii="宋体" w:hAnsi="宋体" w:cs="宋体"/>
                      <w:kern w:val="0"/>
                      <w:sz w:val="18"/>
                      <w:szCs w:val="18"/>
                    </w:rPr>
                  </w:pPr>
                  <w:r>
                    <w:rPr>
                      <w:rFonts w:hint="eastAsia" w:ascii="宋体" w:hAnsi="宋体" w:cs="宋体"/>
                      <w:kern w:val="0"/>
                      <w:sz w:val="18"/>
                      <w:szCs w:val="18"/>
                    </w:rPr>
                    <w:t>现场易燃物品是否设有灭火器，焊接、安全用电等火灾隐患控制是否有效。</w:t>
                  </w:r>
                </w:p>
                <w:p>
                  <w:pPr>
                    <w:widowControl/>
                    <w:rPr>
                      <w:rFonts w:hint="eastAsia" w:ascii="宋体" w:hAnsi="宋体" w:cs="宋体"/>
                      <w:kern w:val="0"/>
                      <w:sz w:val="18"/>
                      <w:szCs w:val="18"/>
                    </w:rPr>
                  </w:pPr>
                  <w:r>
                    <w:rPr>
                      <w:rFonts w:hint="eastAsia" w:ascii="宋体" w:hAnsi="宋体" w:cs="宋体"/>
                      <w:kern w:val="0"/>
                      <w:sz w:val="18"/>
                      <w:szCs w:val="18"/>
                    </w:rPr>
                    <w:t>消防应急准备和响应措施是否有效。</w:t>
                  </w:r>
                </w:p>
              </w:tc>
              <w:tc>
                <w:tcPr>
                  <w:tcW w:w="3489" w:type="dxa"/>
                  <w:noWrap w:val="0"/>
                  <w:vAlign w:val="center"/>
                </w:tcPr>
                <w:p>
                  <w:pPr>
                    <w:widowControl/>
                    <w:rPr>
                      <w:rFonts w:hint="eastAsia" w:ascii="宋体" w:hAnsi="宋体" w:cs="宋体"/>
                      <w:kern w:val="0"/>
                      <w:sz w:val="18"/>
                      <w:szCs w:val="18"/>
                    </w:rPr>
                  </w:pPr>
                  <w:r>
                    <w:rPr>
                      <w:rFonts w:hint="eastAsia" w:ascii="宋体" w:hAnsi="宋体" w:cs="宋体"/>
                      <w:kern w:val="0"/>
                      <w:sz w:val="18"/>
                      <w:szCs w:val="18"/>
                    </w:rPr>
                    <w:t>消防器材的配置合理，消防栓、灭火器符合要求。安全通道、标识适宜。</w:t>
                  </w:r>
                </w:p>
                <w:p>
                  <w:pPr>
                    <w:widowControl/>
                    <w:rPr>
                      <w:rFonts w:hint="eastAsia" w:ascii="宋体" w:hAnsi="宋体" w:cs="宋体"/>
                      <w:kern w:val="0"/>
                      <w:sz w:val="18"/>
                      <w:szCs w:val="18"/>
                    </w:rPr>
                  </w:pPr>
                  <w:r>
                    <w:rPr>
                      <w:rFonts w:hint="eastAsia" w:ascii="宋体" w:hAnsi="宋体" w:cs="宋体"/>
                      <w:kern w:val="0"/>
                      <w:sz w:val="18"/>
                      <w:szCs w:val="18"/>
                    </w:rPr>
                    <w:t>现场易燃物品是否设有灭火器，安全用电等火灾隐患控制有效。</w:t>
                  </w:r>
                </w:p>
                <w:p>
                  <w:pPr>
                    <w:widowControl/>
                    <w:rPr>
                      <w:rFonts w:hint="eastAsia" w:ascii="宋体" w:hAnsi="宋体" w:cs="宋体"/>
                      <w:kern w:val="0"/>
                      <w:sz w:val="18"/>
                      <w:szCs w:val="18"/>
                    </w:rPr>
                  </w:pPr>
                  <w:r>
                    <w:rPr>
                      <w:rFonts w:hint="eastAsia" w:ascii="宋体" w:hAnsi="宋体" w:cs="宋体"/>
                      <w:kern w:val="0"/>
                      <w:sz w:val="18"/>
                      <w:szCs w:val="18"/>
                    </w:rPr>
                    <w:t>消防应急准备和响应措施有效。</w:t>
                  </w:r>
                </w:p>
              </w:tc>
              <w:tc>
                <w:tcPr>
                  <w:tcW w:w="1313" w:type="dxa"/>
                  <w:noWrap w:val="0"/>
                  <w:vAlign w:val="center"/>
                </w:tcPr>
                <w:p>
                  <w:pPr>
                    <w:rPr>
                      <w:sz w:val="18"/>
                      <w:szCs w:val="18"/>
                    </w:rPr>
                  </w:pPr>
                  <w:r>
                    <w:rPr>
                      <w:rFonts w:hint="eastAsia"/>
                      <w:sz w:val="18"/>
                      <w:szCs w:val="18"/>
                    </w:rPr>
                    <w:t>2022-3-30</w:t>
                  </w:r>
                </w:p>
              </w:tc>
              <w:tc>
                <w:tcPr>
                  <w:tcW w:w="958" w:type="dxa"/>
                  <w:noWrap w:val="0"/>
                  <w:vAlign w:val="center"/>
                </w:tcPr>
                <w:p>
                  <w:pPr>
                    <w:widowControl/>
                    <w:jc w:val="center"/>
                    <w:rPr>
                      <w:rFonts w:hint="eastAsia" w:ascii="宋体" w:hAnsi="宋体" w:cs="宋体"/>
                      <w:kern w:val="0"/>
                      <w:sz w:val="18"/>
                      <w:szCs w:val="18"/>
                    </w:rPr>
                  </w:pPr>
                  <w:r>
                    <w:rPr>
                      <w:rFonts w:hint="eastAsia"/>
                      <w:sz w:val="18"/>
                      <w:szCs w:val="18"/>
                    </w:rPr>
                    <w:t>李艳玲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565" w:type="dxa"/>
                  <w:noWrap w:val="0"/>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957" w:type="dxa"/>
                  <w:noWrap w:val="0"/>
                  <w:vAlign w:val="center"/>
                </w:tcPr>
                <w:p>
                  <w:pPr>
                    <w:widowControl/>
                    <w:jc w:val="center"/>
                    <w:rPr>
                      <w:rFonts w:ascii="宋体" w:hAnsi="宋体" w:cs="宋体"/>
                      <w:kern w:val="0"/>
                      <w:sz w:val="18"/>
                      <w:szCs w:val="18"/>
                    </w:rPr>
                  </w:pPr>
                  <w:r>
                    <w:rPr>
                      <w:rFonts w:hint="eastAsia" w:ascii="宋体" w:hAnsi="宋体" w:cs="宋体"/>
                      <w:kern w:val="0"/>
                      <w:sz w:val="18"/>
                      <w:szCs w:val="18"/>
                    </w:rPr>
                    <w:t>车间</w:t>
                  </w:r>
                </w:p>
              </w:tc>
              <w:tc>
                <w:tcPr>
                  <w:tcW w:w="2315" w:type="dxa"/>
                  <w:noWrap w:val="0"/>
                  <w:vAlign w:val="center"/>
                </w:tcPr>
                <w:p>
                  <w:pPr>
                    <w:widowControl/>
                    <w:rPr>
                      <w:rFonts w:hint="eastAsia" w:ascii="宋体" w:hAnsi="宋体" w:cs="宋体"/>
                      <w:kern w:val="0"/>
                      <w:sz w:val="18"/>
                      <w:szCs w:val="18"/>
                    </w:rPr>
                  </w:pPr>
                  <w:r>
                    <w:rPr>
                      <w:rFonts w:hint="eastAsia" w:ascii="宋体" w:hAnsi="宋体" w:cs="宋体"/>
                      <w:kern w:val="0"/>
                      <w:sz w:val="18"/>
                      <w:szCs w:val="18"/>
                    </w:rPr>
                    <w:t>消防器材的配置是否合理，消防栓、灭火器是否符合要求。安全通道、标识是否适宜。</w:t>
                  </w:r>
                </w:p>
                <w:p>
                  <w:pPr>
                    <w:widowControl/>
                    <w:rPr>
                      <w:rFonts w:hint="eastAsia" w:ascii="宋体" w:hAnsi="宋体" w:cs="宋体"/>
                      <w:kern w:val="0"/>
                      <w:sz w:val="18"/>
                      <w:szCs w:val="18"/>
                    </w:rPr>
                  </w:pPr>
                  <w:r>
                    <w:rPr>
                      <w:rFonts w:hint="eastAsia" w:ascii="宋体" w:hAnsi="宋体" w:cs="宋体"/>
                      <w:kern w:val="0"/>
                      <w:sz w:val="18"/>
                      <w:szCs w:val="18"/>
                    </w:rPr>
                    <w:t>现场易燃物品是否设有灭火器，焊接、安全用电等火灾隐患控制是否有效。</w:t>
                  </w:r>
                </w:p>
                <w:p>
                  <w:pPr>
                    <w:widowControl/>
                    <w:rPr>
                      <w:rFonts w:hint="eastAsia" w:ascii="宋体" w:hAnsi="宋体" w:cs="宋体"/>
                      <w:kern w:val="0"/>
                      <w:sz w:val="18"/>
                      <w:szCs w:val="18"/>
                    </w:rPr>
                  </w:pPr>
                  <w:r>
                    <w:rPr>
                      <w:rFonts w:hint="eastAsia" w:ascii="宋体" w:hAnsi="宋体" w:cs="宋体"/>
                      <w:kern w:val="0"/>
                      <w:sz w:val="18"/>
                      <w:szCs w:val="18"/>
                    </w:rPr>
                    <w:t>消防应急准备和响应措施是否有效。</w:t>
                  </w:r>
                </w:p>
              </w:tc>
              <w:tc>
                <w:tcPr>
                  <w:tcW w:w="3489" w:type="dxa"/>
                  <w:noWrap w:val="0"/>
                  <w:vAlign w:val="center"/>
                </w:tcPr>
                <w:p>
                  <w:pPr>
                    <w:widowControl/>
                    <w:rPr>
                      <w:rFonts w:hint="eastAsia" w:ascii="宋体" w:hAnsi="宋体" w:cs="宋体"/>
                      <w:kern w:val="0"/>
                      <w:sz w:val="18"/>
                      <w:szCs w:val="18"/>
                    </w:rPr>
                  </w:pPr>
                  <w:r>
                    <w:rPr>
                      <w:rFonts w:hint="eastAsia" w:ascii="宋体" w:hAnsi="宋体" w:cs="宋体"/>
                      <w:kern w:val="0"/>
                      <w:sz w:val="18"/>
                      <w:szCs w:val="18"/>
                    </w:rPr>
                    <w:t>消防器材的配置合理，消防栓、灭火器符合要求。安全通道、标识适宜。</w:t>
                  </w:r>
                </w:p>
                <w:p>
                  <w:pPr>
                    <w:widowControl/>
                    <w:rPr>
                      <w:rFonts w:hint="eastAsia" w:ascii="宋体" w:hAnsi="宋体" w:cs="宋体"/>
                      <w:kern w:val="0"/>
                      <w:sz w:val="18"/>
                      <w:szCs w:val="18"/>
                    </w:rPr>
                  </w:pPr>
                  <w:r>
                    <w:rPr>
                      <w:rFonts w:hint="eastAsia" w:ascii="宋体" w:hAnsi="宋体" w:cs="宋体"/>
                      <w:kern w:val="0"/>
                      <w:sz w:val="18"/>
                      <w:szCs w:val="18"/>
                    </w:rPr>
                    <w:t>现场易燃物品是否设有灭火器，安全用电等火灾隐患控制有效。</w:t>
                  </w:r>
                </w:p>
                <w:p>
                  <w:pPr>
                    <w:widowControl/>
                    <w:rPr>
                      <w:rFonts w:hint="eastAsia" w:ascii="宋体" w:hAnsi="宋体" w:cs="宋体"/>
                      <w:kern w:val="0"/>
                      <w:sz w:val="18"/>
                      <w:szCs w:val="18"/>
                    </w:rPr>
                  </w:pPr>
                  <w:r>
                    <w:rPr>
                      <w:rFonts w:hint="eastAsia" w:ascii="宋体" w:hAnsi="宋体" w:cs="宋体"/>
                      <w:kern w:val="0"/>
                      <w:sz w:val="18"/>
                      <w:szCs w:val="18"/>
                    </w:rPr>
                    <w:t>消防应急准备和响应措施有效。</w:t>
                  </w:r>
                </w:p>
              </w:tc>
              <w:tc>
                <w:tcPr>
                  <w:tcW w:w="1313" w:type="dxa"/>
                  <w:noWrap w:val="0"/>
                  <w:vAlign w:val="center"/>
                </w:tcPr>
                <w:p>
                  <w:pPr>
                    <w:rPr>
                      <w:rFonts w:hint="eastAsia"/>
                      <w:sz w:val="18"/>
                      <w:szCs w:val="18"/>
                    </w:rPr>
                  </w:pPr>
                  <w:r>
                    <w:rPr>
                      <w:rFonts w:hint="eastAsia"/>
                      <w:sz w:val="18"/>
                      <w:szCs w:val="18"/>
                    </w:rPr>
                    <w:t>2022-3-30</w:t>
                  </w:r>
                </w:p>
              </w:tc>
              <w:tc>
                <w:tcPr>
                  <w:tcW w:w="958" w:type="dxa"/>
                  <w:noWrap w:val="0"/>
                  <w:vAlign w:val="center"/>
                </w:tcPr>
                <w:p>
                  <w:pPr>
                    <w:widowControl/>
                    <w:jc w:val="center"/>
                    <w:rPr>
                      <w:rFonts w:hint="eastAsia" w:ascii="宋体" w:hAnsi="宋体" w:cs="宋体"/>
                      <w:kern w:val="0"/>
                      <w:sz w:val="18"/>
                      <w:szCs w:val="18"/>
                    </w:rPr>
                  </w:pPr>
                  <w:r>
                    <w:rPr>
                      <w:rFonts w:hint="eastAsia"/>
                      <w:sz w:val="18"/>
                      <w:szCs w:val="18"/>
                    </w:rPr>
                    <w:t>李艳玲</w:t>
                  </w:r>
                </w:p>
              </w:tc>
            </w:tr>
          </w:tbl>
          <w:p>
            <w:pPr>
              <w:pStyle w:val="2"/>
              <w:spacing w:line="240" w:lineRule="auto"/>
              <w:rPr>
                <w:rFonts w:hint="eastAsia"/>
                <w:sz w:val="21"/>
                <w:szCs w:val="21"/>
                <w:lang w:val="en-US" w:eastAsia="zh-CN"/>
              </w:rPr>
            </w:pPr>
            <w:r>
              <w:rPr>
                <w:rFonts w:hint="eastAsia"/>
                <w:sz w:val="21"/>
                <w:szCs w:val="21"/>
                <w:lang w:val="en-US" w:eastAsia="zh-CN"/>
              </w:rPr>
              <w:t>---查“劳保发放记录”：</w:t>
            </w:r>
          </w:p>
          <w:p>
            <w:pPr>
              <w:pStyle w:val="2"/>
              <w:spacing w:line="240" w:lineRule="auto"/>
              <w:rPr>
                <w:rFonts w:hint="default"/>
                <w:sz w:val="21"/>
                <w:szCs w:val="21"/>
                <w:lang w:val="en-US" w:eastAsia="zh-CN"/>
              </w:rPr>
            </w:pPr>
            <w:r>
              <w:rPr>
                <w:rFonts w:hint="default"/>
                <w:sz w:val="21"/>
                <w:szCs w:val="21"/>
                <w:lang w:val="en-US" w:eastAsia="zh-CN"/>
              </w:rPr>
              <w:t>2022.1.15</w:t>
            </w:r>
            <w:r>
              <w:rPr>
                <w:rFonts w:hint="default"/>
                <w:sz w:val="21"/>
                <w:szCs w:val="21"/>
                <w:lang w:val="en-US" w:eastAsia="zh-CN"/>
              </w:rPr>
              <w:tab/>
            </w:r>
            <w:r>
              <w:rPr>
                <w:rFonts w:hint="default"/>
                <w:sz w:val="21"/>
                <w:szCs w:val="21"/>
                <w:lang w:val="en-US" w:eastAsia="zh-CN"/>
              </w:rPr>
              <w:t>手套</w:t>
            </w:r>
            <w:r>
              <w:rPr>
                <w:rFonts w:hint="default"/>
                <w:sz w:val="21"/>
                <w:szCs w:val="21"/>
                <w:lang w:val="en-US" w:eastAsia="zh-CN"/>
              </w:rPr>
              <w:tab/>
            </w:r>
            <w:r>
              <w:rPr>
                <w:rFonts w:hint="default"/>
                <w:sz w:val="21"/>
                <w:szCs w:val="21"/>
                <w:lang w:val="en-US" w:eastAsia="zh-CN"/>
              </w:rPr>
              <w:t>15双</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default"/>
                <w:sz w:val="21"/>
                <w:szCs w:val="21"/>
                <w:lang w:val="en-US" w:eastAsia="zh-CN"/>
              </w:rPr>
              <w:t>2022.1.15</w:t>
            </w:r>
            <w:r>
              <w:rPr>
                <w:rFonts w:hint="default"/>
                <w:sz w:val="21"/>
                <w:szCs w:val="21"/>
                <w:lang w:val="en-US" w:eastAsia="zh-CN"/>
              </w:rPr>
              <w:tab/>
            </w:r>
            <w:r>
              <w:rPr>
                <w:rFonts w:hint="default"/>
                <w:sz w:val="21"/>
                <w:szCs w:val="21"/>
                <w:lang w:val="en-US" w:eastAsia="zh-CN"/>
              </w:rPr>
              <w:t>口罩</w:t>
            </w:r>
            <w:r>
              <w:rPr>
                <w:rFonts w:hint="default"/>
                <w:sz w:val="21"/>
                <w:szCs w:val="21"/>
                <w:lang w:val="en-US" w:eastAsia="zh-CN"/>
              </w:rPr>
              <w:tab/>
            </w:r>
            <w:r>
              <w:rPr>
                <w:rFonts w:hint="default"/>
                <w:sz w:val="21"/>
                <w:szCs w:val="21"/>
                <w:lang w:val="en-US" w:eastAsia="zh-CN"/>
              </w:rPr>
              <w:t>20个</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default"/>
                <w:sz w:val="21"/>
                <w:szCs w:val="21"/>
                <w:lang w:val="en-US" w:eastAsia="zh-CN"/>
              </w:rPr>
              <w:t>2022.2.20</w:t>
            </w:r>
            <w:r>
              <w:rPr>
                <w:rFonts w:hint="default"/>
                <w:sz w:val="21"/>
                <w:szCs w:val="21"/>
                <w:lang w:val="en-US" w:eastAsia="zh-CN"/>
              </w:rPr>
              <w:tab/>
            </w:r>
            <w:r>
              <w:rPr>
                <w:rFonts w:hint="default"/>
                <w:sz w:val="21"/>
                <w:szCs w:val="21"/>
                <w:lang w:val="en-US" w:eastAsia="zh-CN"/>
              </w:rPr>
              <w:t>手套</w:t>
            </w:r>
            <w:r>
              <w:rPr>
                <w:rFonts w:hint="default"/>
                <w:sz w:val="21"/>
                <w:szCs w:val="21"/>
                <w:lang w:val="en-US" w:eastAsia="zh-CN"/>
              </w:rPr>
              <w:tab/>
            </w:r>
            <w:r>
              <w:rPr>
                <w:rFonts w:hint="default"/>
                <w:sz w:val="21"/>
                <w:szCs w:val="21"/>
                <w:lang w:val="en-US" w:eastAsia="zh-CN"/>
              </w:rPr>
              <w:t>15双</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default"/>
                <w:sz w:val="21"/>
                <w:szCs w:val="21"/>
                <w:lang w:val="en-US" w:eastAsia="zh-CN"/>
              </w:rPr>
              <w:t>2022.2.20</w:t>
            </w:r>
            <w:r>
              <w:rPr>
                <w:rFonts w:hint="default"/>
                <w:sz w:val="21"/>
                <w:szCs w:val="21"/>
                <w:lang w:val="en-US" w:eastAsia="zh-CN"/>
              </w:rPr>
              <w:tab/>
            </w:r>
            <w:r>
              <w:rPr>
                <w:rFonts w:hint="default"/>
                <w:sz w:val="21"/>
                <w:szCs w:val="21"/>
                <w:lang w:val="en-US" w:eastAsia="zh-CN"/>
              </w:rPr>
              <w:t>口罩</w:t>
            </w:r>
            <w:r>
              <w:rPr>
                <w:rFonts w:hint="default"/>
                <w:sz w:val="21"/>
                <w:szCs w:val="21"/>
                <w:lang w:val="en-US" w:eastAsia="zh-CN"/>
              </w:rPr>
              <w:tab/>
            </w:r>
            <w:r>
              <w:rPr>
                <w:rFonts w:hint="default"/>
                <w:sz w:val="21"/>
                <w:szCs w:val="21"/>
                <w:lang w:val="en-US" w:eastAsia="zh-CN"/>
              </w:rPr>
              <w:t>20个</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default"/>
                <w:sz w:val="21"/>
                <w:szCs w:val="21"/>
                <w:lang w:val="en-US" w:eastAsia="zh-CN"/>
              </w:rPr>
              <w:t>2022.3.21</w:t>
            </w:r>
            <w:r>
              <w:rPr>
                <w:rFonts w:hint="default"/>
                <w:sz w:val="21"/>
                <w:szCs w:val="21"/>
                <w:lang w:val="en-US" w:eastAsia="zh-CN"/>
              </w:rPr>
              <w:tab/>
            </w:r>
            <w:r>
              <w:rPr>
                <w:rFonts w:hint="default"/>
                <w:sz w:val="21"/>
                <w:szCs w:val="21"/>
                <w:lang w:val="en-US" w:eastAsia="zh-CN"/>
              </w:rPr>
              <w:t>手套</w:t>
            </w:r>
            <w:r>
              <w:rPr>
                <w:rFonts w:hint="default"/>
                <w:sz w:val="21"/>
                <w:szCs w:val="21"/>
                <w:lang w:val="en-US" w:eastAsia="zh-CN"/>
              </w:rPr>
              <w:tab/>
            </w:r>
            <w:r>
              <w:rPr>
                <w:rFonts w:hint="default"/>
                <w:sz w:val="21"/>
                <w:szCs w:val="21"/>
                <w:lang w:val="en-US" w:eastAsia="zh-CN"/>
              </w:rPr>
              <w:t>15双</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default"/>
                <w:sz w:val="21"/>
                <w:szCs w:val="21"/>
                <w:lang w:val="en-US" w:eastAsia="zh-CN"/>
              </w:rPr>
              <w:t>2022.3.21</w:t>
            </w:r>
            <w:r>
              <w:rPr>
                <w:rFonts w:hint="default"/>
                <w:sz w:val="21"/>
                <w:szCs w:val="21"/>
                <w:lang w:val="en-US" w:eastAsia="zh-CN"/>
              </w:rPr>
              <w:tab/>
            </w:r>
            <w:r>
              <w:rPr>
                <w:rFonts w:hint="default"/>
                <w:sz w:val="21"/>
                <w:szCs w:val="21"/>
                <w:lang w:val="en-US" w:eastAsia="zh-CN"/>
              </w:rPr>
              <w:t>口罩</w:t>
            </w:r>
            <w:r>
              <w:rPr>
                <w:rFonts w:hint="default"/>
                <w:sz w:val="21"/>
                <w:szCs w:val="21"/>
                <w:lang w:val="en-US" w:eastAsia="zh-CN"/>
              </w:rPr>
              <w:tab/>
            </w:r>
            <w:r>
              <w:rPr>
                <w:rFonts w:hint="default"/>
                <w:sz w:val="21"/>
                <w:szCs w:val="21"/>
                <w:lang w:val="en-US" w:eastAsia="zh-CN"/>
              </w:rPr>
              <w:t>20个</w:t>
            </w:r>
            <w:r>
              <w:rPr>
                <w:rFonts w:hint="default"/>
                <w:sz w:val="21"/>
                <w:szCs w:val="21"/>
                <w:lang w:val="en-US" w:eastAsia="zh-CN"/>
              </w:rPr>
              <w:tab/>
            </w:r>
            <w:r>
              <w:rPr>
                <w:rFonts w:hint="default"/>
                <w:sz w:val="21"/>
                <w:szCs w:val="21"/>
                <w:lang w:val="en-US" w:eastAsia="zh-CN"/>
              </w:rPr>
              <w:t>姜微</w:t>
            </w:r>
          </w:p>
          <w:p>
            <w:pPr>
              <w:pStyle w:val="2"/>
              <w:spacing w:line="240" w:lineRule="auto"/>
              <w:rPr>
                <w:rFonts w:hint="default"/>
                <w:sz w:val="21"/>
                <w:szCs w:val="21"/>
                <w:lang w:val="en-US" w:eastAsia="zh-CN"/>
              </w:rPr>
            </w:pPr>
            <w:r>
              <w:rPr>
                <w:rFonts w:hint="eastAsia"/>
                <w:sz w:val="21"/>
                <w:szCs w:val="21"/>
                <w:lang w:val="en-US" w:eastAsia="zh-CN"/>
              </w:rPr>
              <w:t>——部门环境、安全运行控制基本符合。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eastAsia="宋体"/>
                <w:sz w:val="21"/>
                <w:szCs w:val="21"/>
                <w:lang w:val="en-US" w:eastAsia="zh-CN"/>
              </w:rPr>
            </w:pPr>
            <w:r>
              <w:rPr>
                <w:rFonts w:hint="eastAsia"/>
                <w:sz w:val="21"/>
                <w:szCs w:val="21"/>
                <w:lang w:val="en-US" w:eastAsia="zh-CN"/>
              </w:rPr>
              <w:t>应急准备和响应</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ES8.2</w:t>
            </w:r>
          </w:p>
        </w:tc>
        <w:tc>
          <w:tcPr>
            <w:tcW w:w="3402" w:type="pct"/>
            <w:vAlign w:val="center"/>
          </w:tcPr>
          <w:p>
            <w:pPr>
              <w:pStyle w:val="2"/>
              <w:spacing w:line="240" w:lineRule="auto"/>
              <w:rPr>
                <w:rFonts w:hint="eastAsia"/>
                <w:sz w:val="21"/>
                <w:szCs w:val="21"/>
                <w:lang w:val="en-US" w:eastAsia="zh-CN"/>
              </w:rPr>
            </w:pPr>
            <w:r>
              <w:rPr>
                <w:rFonts w:hint="eastAsia"/>
                <w:sz w:val="21"/>
                <w:szCs w:val="21"/>
                <w:lang w:val="en-US" w:eastAsia="zh-CN"/>
              </w:rPr>
              <w:t>---策划有“应急准备和响应控制程序”。</w:t>
            </w:r>
          </w:p>
          <w:p>
            <w:pPr>
              <w:pStyle w:val="2"/>
              <w:spacing w:line="240" w:lineRule="auto"/>
              <w:rPr>
                <w:rFonts w:hint="eastAsia"/>
                <w:sz w:val="21"/>
                <w:szCs w:val="21"/>
                <w:lang w:val="en-US" w:eastAsia="zh-CN"/>
              </w:rPr>
            </w:pPr>
            <w:r>
              <w:rPr>
                <w:rFonts w:hint="eastAsia"/>
                <w:sz w:val="21"/>
                <w:szCs w:val="21"/>
                <w:lang w:val="en-US" w:eastAsia="zh-CN"/>
              </w:rPr>
              <w:t>---制订有触电、工伤、火灾、疫情共4份应急预案并进行了相应的演练。</w:t>
            </w:r>
          </w:p>
          <w:p>
            <w:pPr>
              <w:pStyle w:val="2"/>
              <w:spacing w:line="240" w:lineRule="auto"/>
              <w:rPr>
                <w:rFonts w:hint="eastAsia"/>
                <w:sz w:val="21"/>
                <w:szCs w:val="21"/>
                <w:lang w:val="en-US" w:eastAsia="zh-CN"/>
              </w:rPr>
            </w:pPr>
            <w:r>
              <w:rPr>
                <w:rFonts w:hint="eastAsia"/>
                <w:sz w:val="21"/>
                <w:szCs w:val="21"/>
                <w:lang w:val="en-US" w:eastAsia="zh-CN"/>
              </w:rPr>
              <w:t>查2021.12.22进行了火灾演练；2021.11.16实施了工伤应急演练；2021.10.19.进行了触电应急演练；2022年3月20日实施了新冠疫情应急演练。</w:t>
            </w:r>
          </w:p>
          <w:p>
            <w:pPr>
              <w:pStyle w:val="2"/>
              <w:spacing w:line="240" w:lineRule="auto"/>
              <w:rPr>
                <w:rFonts w:hint="default"/>
                <w:sz w:val="21"/>
                <w:szCs w:val="21"/>
                <w:lang w:val="en-US" w:eastAsia="zh-CN"/>
              </w:rPr>
            </w:pPr>
            <w:r>
              <w:rPr>
                <w:rFonts w:hint="eastAsia"/>
                <w:sz w:val="21"/>
                <w:szCs w:val="21"/>
                <w:lang w:val="en-US" w:eastAsia="zh-CN"/>
              </w:rPr>
              <w:t>——以上应急演练军进行了效果评价，应急管理基本符合。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default"/>
                <w:sz w:val="21"/>
                <w:szCs w:val="21"/>
                <w:lang w:val="en-US" w:eastAsia="zh-CN"/>
              </w:rPr>
            </w:pPr>
            <w:r>
              <w:rPr>
                <w:rFonts w:hint="eastAsia"/>
                <w:sz w:val="21"/>
                <w:szCs w:val="21"/>
                <w:lang w:val="en-US" w:eastAsia="zh-CN"/>
              </w:rPr>
              <w:t>内部审核</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QES9.2</w:t>
            </w:r>
          </w:p>
        </w:tc>
        <w:tc>
          <w:tcPr>
            <w:tcW w:w="3402" w:type="pct"/>
            <w:vAlign w:val="center"/>
          </w:tcPr>
          <w:p>
            <w:pPr>
              <w:pStyle w:val="2"/>
              <w:spacing w:line="240" w:lineRule="auto"/>
              <w:rPr>
                <w:rFonts w:hint="eastAsia"/>
                <w:sz w:val="21"/>
                <w:szCs w:val="21"/>
                <w:lang w:val="en-US" w:eastAsia="zh-CN"/>
              </w:rPr>
            </w:pPr>
            <w:r>
              <w:rPr>
                <w:rFonts w:hint="eastAsia"/>
                <w:sz w:val="21"/>
                <w:szCs w:val="21"/>
                <w:lang w:val="en-US" w:eastAsia="zh-CN"/>
              </w:rPr>
              <w:t>---制定了《内审控制程序》进行内部审核过程控制。提供内审记录，抽查内容如下：</w:t>
            </w:r>
          </w:p>
          <w:p>
            <w:pPr>
              <w:pStyle w:val="2"/>
              <w:spacing w:line="240" w:lineRule="auto"/>
              <w:rPr>
                <w:rFonts w:hint="eastAsia"/>
                <w:sz w:val="21"/>
                <w:szCs w:val="21"/>
                <w:lang w:val="en-US" w:eastAsia="zh-CN"/>
              </w:rPr>
            </w:pPr>
            <w:r>
              <w:rPr>
                <w:rFonts w:hint="eastAsia"/>
                <w:sz w:val="21"/>
                <w:szCs w:val="21"/>
                <w:lang w:val="en-US" w:eastAsia="zh-CN"/>
              </w:rPr>
              <w:t>审核组：李艳玲、洪雷：签到表显示，管代及各部门负责人参与了内部审核的首末次会议；提供了内审员任命书及首末次手写签到表。</w:t>
            </w:r>
          </w:p>
          <w:p>
            <w:pPr>
              <w:pStyle w:val="2"/>
              <w:spacing w:line="240" w:lineRule="auto"/>
              <w:rPr>
                <w:rFonts w:hint="eastAsia"/>
                <w:sz w:val="21"/>
                <w:szCs w:val="21"/>
                <w:lang w:val="en-US" w:eastAsia="zh-CN"/>
              </w:rPr>
            </w:pPr>
            <w:r>
              <w:rPr>
                <w:rFonts w:hint="eastAsia"/>
                <w:sz w:val="21"/>
                <w:szCs w:val="21"/>
                <w:lang w:val="en-US" w:eastAsia="zh-CN"/>
              </w:rPr>
              <w:t>查2022.2.10.制定计划，2022.2.18.实施的内部审核，内容包括审核目的、审核范围、审核准则、审核具体日程安排、编制批准等，内容完整，能够满足策划要求。</w:t>
            </w:r>
          </w:p>
          <w:p>
            <w:pPr>
              <w:pStyle w:val="2"/>
              <w:spacing w:line="240" w:lineRule="auto"/>
              <w:rPr>
                <w:rFonts w:hint="eastAsia"/>
                <w:sz w:val="21"/>
                <w:szCs w:val="21"/>
                <w:lang w:val="en-US" w:eastAsia="zh-CN"/>
              </w:rPr>
            </w:pPr>
            <w:r>
              <w:rPr>
                <w:rFonts w:hint="eastAsia"/>
                <w:sz w:val="21"/>
                <w:szCs w:val="21"/>
                <w:lang w:val="en-US" w:eastAsia="zh-CN"/>
              </w:rPr>
              <w:t>提供各部门《内部审核检查表》，内容包括条款号、检查内容、检查记录和结果判定等，记录显示，审核组有按照计划要求进行，满足执行要求。</w:t>
            </w:r>
          </w:p>
          <w:p>
            <w:pPr>
              <w:pStyle w:val="2"/>
              <w:spacing w:line="240" w:lineRule="auto"/>
              <w:rPr>
                <w:rFonts w:hint="eastAsia"/>
                <w:sz w:val="21"/>
                <w:szCs w:val="21"/>
                <w:lang w:val="en-US" w:eastAsia="zh-CN"/>
              </w:rPr>
            </w:pPr>
            <w:r>
              <w:rPr>
                <w:rFonts w:hint="eastAsia"/>
                <w:sz w:val="21"/>
                <w:szCs w:val="21"/>
                <w:lang w:val="en-US" w:eastAsia="zh-CN"/>
              </w:rPr>
              <w:t>查《内审报告》中内部审核结论记录如下：</w:t>
            </w:r>
          </w:p>
          <w:p>
            <w:pPr>
              <w:pStyle w:val="2"/>
              <w:spacing w:line="240" w:lineRule="auto"/>
              <w:rPr>
                <w:rFonts w:hint="eastAsia"/>
                <w:sz w:val="21"/>
                <w:szCs w:val="21"/>
                <w:lang w:val="en-US" w:eastAsia="zh-CN"/>
              </w:rPr>
            </w:pPr>
            <w:r>
              <w:rPr>
                <w:rFonts w:hint="eastAsia"/>
                <w:sz w:val="21"/>
                <w:szCs w:val="21"/>
                <w:lang w:val="en-US" w:eastAsia="zh-CN"/>
              </w:rPr>
              <w:t>公司的质量、环境和职业健康安全管理体系在审核范围内基本符合审核准则并得到实施，已具有防止不符合满足相关方及法律法规要求的能力，具有持续改进机制。对环境因素和危险源进行了识别，并确定了重要环境因素和不可接受风险清单，重要环境因素和危险源通过程序、方案等基本能够得到控制，通过体系的运作能够做到污染、健康损害预防，对环境和职业健康安全绩效进行了监测。公司的质量、环境和职业健康安全管理体系与GB/T19001-2016标准、GB/T24001-2016和GB/T45001-2020标准是相符合的，基本能够得到实施和保持。</w:t>
            </w:r>
          </w:p>
          <w:p>
            <w:pPr>
              <w:pStyle w:val="2"/>
              <w:spacing w:line="240" w:lineRule="auto"/>
              <w:rPr>
                <w:rFonts w:hint="eastAsia"/>
                <w:sz w:val="21"/>
                <w:szCs w:val="21"/>
                <w:lang w:val="en-US" w:eastAsia="zh-CN"/>
              </w:rPr>
            </w:pPr>
            <w:r>
              <w:rPr>
                <w:rFonts w:hint="eastAsia"/>
                <w:sz w:val="21"/>
                <w:szCs w:val="21"/>
                <w:lang w:val="en-US" w:eastAsia="zh-CN"/>
              </w:rPr>
              <w:t>因此，我们的审核结论是：在不符合项采取了纠正措施并验证其有效性后，本公司质量、环境和职业健康安全管理体系的有效性、适宜性和符合性将有所提高，质量、环境和职业健康安全管理体系文件得到了有效的实施和保持。</w:t>
            </w:r>
          </w:p>
          <w:p>
            <w:pPr>
              <w:pStyle w:val="2"/>
              <w:spacing w:line="240" w:lineRule="auto"/>
              <w:rPr>
                <w:rFonts w:hint="eastAsia"/>
                <w:sz w:val="21"/>
                <w:szCs w:val="21"/>
                <w:lang w:val="en-US" w:eastAsia="zh-CN"/>
              </w:rPr>
            </w:pPr>
            <w:r>
              <w:rPr>
                <w:rFonts w:hint="eastAsia"/>
                <w:sz w:val="21"/>
                <w:szCs w:val="21"/>
                <w:lang w:val="en-US" w:eastAsia="zh-CN"/>
              </w:rPr>
              <w:t>查《内审不符合报告》，涉及的不符合项如下： 审核发现，不能提供对北京合康科技发展有限责任公司2021年12月3日“无线随钻测斜仪/马达总成/密封圈、轴承等”销售合同进行评审的相关证据；</w:t>
            </w:r>
          </w:p>
          <w:p>
            <w:pPr>
              <w:pStyle w:val="2"/>
              <w:spacing w:line="240" w:lineRule="auto"/>
              <w:rPr>
                <w:rFonts w:hint="eastAsia"/>
                <w:sz w:val="21"/>
                <w:szCs w:val="21"/>
                <w:lang w:val="en-US" w:eastAsia="zh-CN"/>
              </w:rPr>
            </w:pPr>
            <w:r>
              <w:rPr>
                <w:rFonts w:hint="eastAsia"/>
                <w:sz w:val="21"/>
                <w:szCs w:val="21"/>
                <w:lang w:val="en-US" w:eastAsia="zh-CN"/>
              </w:rPr>
              <w:t>不符合标准条款：Q8.2。不符合已验证关闭。</w:t>
            </w:r>
          </w:p>
          <w:p>
            <w:pPr>
              <w:pStyle w:val="2"/>
              <w:spacing w:line="240" w:lineRule="auto"/>
              <w:rPr>
                <w:rFonts w:hint="eastAsia"/>
                <w:sz w:val="21"/>
                <w:szCs w:val="21"/>
                <w:lang w:val="en-US" w:eastAsia="zh-CN"/>
              </w:rPr>
            </w:pPr>
            <w:r>
              <w:rPr>
                <w:rFonts w:hint="eastAsia"/>
                <w:sz w:val="21"/>
                <w:szCs w:val="21"/>
                <w:lang w:val="en-US" w:eastAsia="zh-CN"/>
              </w:rPr>
              <w:t>——基本符合</w:t>
            </w:r>
          </w:p>
        </w:tc>
        <w:tc>
          <w:tcPr>
            <w:tcW w:w="538" w:type="pct"/>
            <w:vAlign w:val="center"/>
          </w:tcPr>
          <w:p>
            <w:pPr>
              <w:spacing w:line="240" w:lineRule="auto"/>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733" w:type="pct"/>
            <w:vAlign w:val="center"/>
          </w:tcPr>
          <w:p>
            <w:pPr>
              <w:spacing w:line="240" w:lineRule="auto"/>
              <w:jc w:val="center"/>
              <w:rPr>
                <w:rFonts w:hint="eastAsia"/>
                <w:sz w:val="21"/>
                <w:szCs w:val="21"/>
                <w:lang w:val="en-US" w:eastAsia="zh-CN"/>
              </w:rPr>
            </w:pPr>
            <w:r>
              <w:rPr>
                <w:rFonts w:hint="eastAsia"/>
                <w:sz w:val="21"/>
                <w:szCs w:val="21"/>
              </w:rPr>
              <w:t>管理体系绩效检查及改进机制</w:t>
            </w:r>
          </w:p>
        </w:tc>
        <w:tc>
          <w:tcPr>
            <w:tcW w:w="326" w:type="pct"/>
            <w:vAlign w:val="center"/>
          </w:tcPr>
          <w:p>
            <w:pPr>
              <w:spacing w:line="240" w:lineRule="auto"/>
              <w:rPr>
                <w:rFonts w:hint="default"/>
                <w:sz w:val="21"/>
                <w:szCs w:val="21"/>
                <w:lang w:val="en-US" w:eastAsia="zh-CN"/>
              </w:rPr>
            </w:pPr>
            <w:r>
              <w:rPr>
                <w:rFonts w:hint="eastAsia"/>
                <w:sz w:val="21"/>
                <w:szCs w:val="21"/>
                <w:lang w:val="en-US" w:eastAsia="zh-CN"/>
              </w:rPr>
              <w:t>QES9.1.1、10.2；Q9.1.3</w:t>
            </w:r>
          </w:p>
        </w:tc>
        <w:tc>
          <w:tcPr>
            <w:tcW w:w="3402" w:type="pct"/>
            <w:vAlign w:val="center"/>
          </w:tcPr>
          <w:p>
            <w:pPr>
              <w:pStyle w:val="14"/>
              <w:rPr>
                <w:rFonts w:hint="default" w:ascii="Times New Roman" w:hAnsi="Times New Roman" w:eastAsia="宋体"/>
                <w:szCs w:val="20"/>
                <w:lang w:val="en-US" w:eastAsia="zh-CN"/>
              </w:rPr>
            </w:pPr>
            <w:r>
              <w:rPr>
                <w:rFonts w:hint="eastAsia" w:ascii="Times New Roman" w:hAnsi="Times New Roman"/>
                <w:szCs w:val="20"/>
                <w:lang w:val="en-US" w:eastAsia="zh-CN"/>
              </w:rPr>
              <w:t>---策划有“</w:t>
            </w:r>
            <w:r>
              <w:rPr>
                <w:rFonts w:hint="eastAsia" w:ascii="宋体" w:hAnsi="宋体"/>
              </w:rPr>
              <w:t>监测与测量控制程序</w:t>
            </w:r>
            <w:r>
              <w:rPr>
                <w:rFonts w:hint="eastAsia" w:ascii="宋体" w:hAnsi="宋体"/>
                <w:lang w:eastAsia="zh-CN"/>
              </w:rPr>
              <w:t>”、“</w:t>
            </w:r>
            <w:r>
              <w:rPr>
                <w:rFonts w:hint="eastAsia" w:ascii="宋体" w:hAnsi="宋体"/>
              </w:rPr>
              <w:t>不合格和纠正措施控制程序</w:t>
            </w:r>
            <w:r>
              <w:rPr>
                <w:rFonts w:hint="eastAsia" w:ascii="宋体" w:hAnsi="宋体"/>
                <w:lang w:eastAsia="zh-CN"/>
              </w:rPr>
              <w:t>”</w:t>
            </w:r>
            <w:r>
              <w:rPr>
                <w:rFonts w:hint="eastAsia" w:ascii="宋体" w:hAnsi="宋体" w:eastAsia="宋体"/>
                <w:lang w:val="en-US" w:eastAsia="zh-CN"/>
              </w:rPr>
              <w:t>及“</w:t>
            </w:r>
            <w:r>
              <w:rPr>
                <w:rFonts w:hint="eastAsia" w:ascii="宋体" w:hAnsi="宋体" w:eastAsia="宋体"/>
              </w:rPr>
              <w:t>分析和评价控制程序</w:t>
            </w:r>
            <w:r>
              <w:rPr>
                <w:rFonts w:hint="eastAsia" w:ascii="宋体" w:hAnsi="宋体" w:eastAsia="宋体"/>
                <w:lang w:eastAsia="zh-CN"/>
              </w:rPr>
              <w:t>”。——</w:t>
            </w:r>
            <w:r>
              <w:rPr>
                <w:rFonts w:hint="eastAsia" w:ascii="宋体" w:hAnsi="宋体" w:eastAsia="宋体"/>
                <w:lang w:val="en-US" w:eastAsia="zh-CN"/>
              </w:rPr>
              <w:t>本部门主控。</w:t>
            </w:r>
          </w:p>
          <w:p>
            <w:pPr>
              <w:pStyle w:val="14"/>
              <w:ind w:firstLine="420" w:firstLineChars="200"/>
              <w:rPr>
                <w:rFonts w:ascii="Times New Roman" w:hAnsi="Times New Roman"/>
                <w:szCs w:val="20"/>
              </w:rPr>
            </w:pPr>
            <w:r>
              <w:rPr>
                <w:rFonts w:hint="eastAsia" w:ascii="Times New Roman" w:hAnsi="Times New Roman"/>
                <w:szCs w:val="20"/>
              </w:rPr>
              <w:t>1、核查其按照体系要求建立有完善的内部检查机制，其中包括：内审、工作目标绩效考核，各层级例行的工作检查等。</w:t>
            </w:r>
          </w:p>
          <w:p>
            <w:pPr>
              <w:pStyle w:val="14"/>
              <w:ind w:firstLine="420" w:firstLineChars="200"/>
              <w:rPr>
                <w:rFonts w:hint="default" w:ascii="Times New Roman" w:hAnsi="Times New Roman" w:eastAsia="宋体"/>
                <w:szCs w:val="20"/>
                <w:lang w:val="en-US" w:eastAsia="zh-CN"/>
              </w:rPr>
            </w:pPr>
            <w:r>
              <w:rPr>
                <w:rFonts w:ascii="Times New Roman" w:hAnsi="Times New Roman"/>
                <w:szCs w:val="20"/>
              </w:rPr>
              <w:t>2</w:t>
            </w:r>
            <w:r>
              <w:rPr>
                <w:rFonts w:hint="eastAsia" w:ascii="Times New Roman" w:hAnsi="Times New Roman"/>
                <w:szCs w:val="20"/>
              </w:rPr>
              <w:t>、公司目标以及各部门分解目标均有效达成</w:t>
            </w:r>
            <w:r>
              <w:rPr>
                <w:rFonts w:hint="eastAsia" w:ascii="Times New Roman" w:hAnsi="Times New Roman"/>
                <w:szCs w:val="20"/>
                <w:lang w:eastAsia="zh-CN"/>
              </w:rPr>
              <w:t>，</w:t>
            </w:r>
            <w:r>
              <w:rPr>
                <w:rFonts w:hint="eastAsia" w:ascii="Times New Roman" w:hAnsi="Times New Roman"/>
                <w:szCs w:val="20"/>
                <w:lang w:val="en-US" w:eastAsia="zh-CN"/>
              </w:rPr>
              <w:t>内审发现的不符合已验证关闭。</w:t>
            </w:r>
          </w:p>
          <w:p>
            <w:pPr>
              <w:pStyle w:val="14"/>
              <w:ind w:firstLine="420" w:firstLineChars="200"/>
              <w:rPr>
                <w:rFonts w:ascii="Times New Roman" w:hAnsi="Times New Roman"/>
                <w:szCs w:val="20"/>
              </w:rPr>
            </w:pPr>
            <w:r>
              <w:rPr>
                <w:rFonts w:ascii="Times New Roman" w:hAnsi="Times New Roman"/>
                <w:szCs w:val="20"/>
              </w:rPr>
              <w:t>3</w:t>
            </w:r>
            <w:r>
              <w:rPr>
                <w:rFonts w:hint="eastAsia" w:ascii="Times New Roman" w:hAnsi="Times New Roman"/>
                <w:szCs w:val="20"/>
              </w:rPr>
              <w:t>、业务经营合规性：经核实，现公司业务经营活动在认证周期内均无质量监管违规事件发生，业务经营过程法定要求履行合规。</w:t>
            </w:r>
          </w:p>
          <w:p>
            <w:pPr>
              <w:pStyle w:val="14"/>
              <w:ind w:firstLine="420" w:firstLineChars="200"/>
              <w:rPr>
                <w:rFonts w:ascii="Times New Roman" w:hAnsi="Times New Roman"/>
                <w:szCs w:val="20"/>
              </w:rPr>
            </w:pPr>
          </w:p>
          <w:p>
            <w:pPr>
              <w:spacing w:before="120" w:line="360" w:lineRule="auto"/>
              <w:rPr>
                <w:rFonts w:hint="eastAsia" w:eastAsia="宋体"/>
                <w:sz w:val="21"/>
                <w:szCs w:val="21"/>
                <w:lang w:val="en-US" w:eastAsia="zh-CN"/>
              </w:rPr>
            </w:pPr>
            <w:r>
              <w:rPr>
                <w:rFonts w:hint="eastAsia" w:ascii="Times New Roman" w:hAnsi="Times New Roman"/>
                <w:color w:val="FF0000"/>
                <w:szCs w:val="20"/>
              </w:rPr>
              <w:t>——</w:t>
            </w:r>
            <w:r>
              <w:rPr>
                <w:rFonts w:hint="eastAsia"/>
                <w:color w:val="FF0000"/>
                <w:szCs w:val="20"/>
                <w:lang w:val="en-US" w:eastAsia="zh-CN"/>
              </w:rPr>
              <w:t>不</w:t>
            </w:r>
            <w:r>
              <w:rPr>
                <w:rFonts w:hint="eastAsia" w:ascii="Times New Roman" w:hAnsi="Times New Roman"/>
                <w:color w:val="FF0000"/>
                <w:szCs w:val="20"/>
              </w:rPr>
              <w:t>符合</w:t>
            </w:r>
            <w:r>
              <w:rPr>
                <w:rFonts w:hint="eastAsia"/>
                <w:color w:val="FF0000"/>
                <w:szCs w:val="20"/>
                <w:lang w:eastAsia="zh-CN"/>
              </w:rPr>
              <w:t>：</w:t>
            </w:r>
            <w:r>
              <w:rPr>
                <w:rFonts w:hint="eastAsia" w:ascii="方正仿宋简体" w:eastAsia="方正仿宋简体"/>
                <w:b/>
                <w:color w:val="FF0000"/>
              </w:rPr>
              <w:t>企业未能提供员工进行过职业病健康体检的证据。</w:t>
            </w:r>
          </w:p>
        </w:tc>
        <w:tc>
          <w:tcPr>
            <w:tcW w:w="538" w:type="pct"/>
            <w:vAlign w:val="center"/>
          </w:tcPr>
          <w:p>
            <w:pPr>
              <w:spacing w:line="240" w:lineRule="auto"/>
              <w:rPr>
                <w:rFonts w:hint="eastAsia"/>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eastAsia"/>
                <w:sz w:val="21"/>
                <w:szCs w:val="21"/>
              </w:rPr>
            </w:pPr>
          </w:p>
          <w:p>
            <w:pPr>
              <w:pStyle w:val="2"/>
              <w:rPr>
                <w:rFonts w:hint="default" w:eastAsia="宋体"/>
                <w:sz w:val="21"/>
                <w:szCs w:val="21"/>
                <w:lang w:val="en-US" w:eastAsia="zh-CN"/>
              </w:rPr>
            </w:pPr>
            <w:r>
              <w:rPr>
                <w:rFonts w:hint="eastAsia"/>
                <w:color w:val="FF0000"/>
                <w:sz w:val="21"/>
                <w:szCs w:val="21"/>
                <w:lang w:val="en-US" w:eastAsia="zh-CN"/>
              </w:rPr>
              <w:t>N2</w:t>
            </w:r>
          </w:p>
        </w:tc>
      </w:tr>
    </w:tbl>
    <w:p>
      <w:r>
        <w:ptab w:relativeTo="margin" w:alignment="center" w:leader="none"/>
      </w:r>
    </w:p>
    <w:p/>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9A432B"/>
    <w:multiLevelType w:val="singleLevel"/>
    <w:tmpl w:val="D19A432B"/>
    <w:lvl w:ilvl="0" w:tentative="0">
      <w:start w:val="1"/>
      <w:numFmt w:val="decimal"/>
      <w:suff w:val="nothing"/>
      <w:lvlText w:val="%1、"/>
      <w:lvlJc w:val="left"/>
    </w:lvl>
  </w:abstractNum>
  <w:abstractNum w:abstractNumId="1">
    <w:nsid w:val="563AB376"/>
    <w:multiLevelType w:val="singleLevel"/>
    <w:tmpl w:val="563AB376"/>
    <w:lvl w:ilvl="0" w:tentative="0">
      <w:start w:val="1"/>
      <w:numFmt w:val="decimal"/>
      <w:suff w:val="nothing"/>
      <w:lvlText w:val="%1."/>
      <w:lvlJc w:val="left"/>
    </w:lvl>
  </w:abstractNum>
  <w:abstractNum w:abstractNumId="2">
    <w:nsid w:val="563AD4BE"/>
    <w:multiLevelType w:val="singleLevel"/>
    <w:tmpl w:val="563AD4BE"/>
    <w:lvl w:ilvl="0" w:tentative="0">
      <w:start w:val="1"/>
      <w:numFmt w:val="decimal"/>
      <w:suff w:val="nothing"/>
      <w:lvlText w:val="%1."/>
      <w:lvlJc w:val="left"/>
    </w:lvl>
  </w:abstractNum>
  <w:abstractNum w:abstractNumId="3">
    <w:nsid w:val="6B8D6C82"/>
    <w:multiLevelType w:val="singleLevel"/>
    <w:tmpl w:val="6B8D6C82"/>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3NDJhNGRkNmZiZjA2OTg3ZjZiMDhkODZkNmNlMjcifQ=="/>
  </w:docVars>
  <w:rsids>
    <w:rsidRoot w:val="00000000"/>
    <w:rsid w:val="00F44F67"/>
    <w:rsid w:val="012408A7"/>
    <w:rsid w:val="01371622"/>
    <w:rsid w:val="013B2B96"/>
    <w:rsid w:val="014600B1"/>
    <w:rsid w:val="0156352C"/>
    <w:rsid w:val="016D4D19"/>
    <w:rsid w:val="01E46D89"/>
    <w:rsid w:val="01E925F2"/>
    <w:rsid w:val="01EC09CE"/>
    <w:rsid w:val="02016291"/>
    <w:rsid w:val="02145195"/>
    <w:rsid w:val="022B288B"/>
    <w:rsid w:val="02397F9E"/>
    <w:rsid w:val="026006E2"/>
    <w:rsid w:val="027619AC"/>
    <w:rsid w:val="027D71DE"/>
    <w:rsid w:val="02B04EBD"/>
    <w:rsid w:val="02F079B0"/>
    <w:rsid w:val="032645CA"/>
    <w:rsid w:val="03BB4501"/>
    <w:rsid w:val="03F8698B"/>
    <w:rsid w:val="04057864"/>
    <w:rsid w:val="04357D70"/>
    <w:rsid w:val="047F2892"/>
    <w:rsid w:val="04B846C7"/>
    <w:rsid w:val="054C1AFF"/>
    <w:rsid w:val="05641E3B"/>
    <w:rsid w:val="05740424"/>
    <w:rsid w:val="057C1A3D"/>
    <w:rsid w:val="05944C0C"/>
    <w:rsid w:val="06224628"/>
    <w:rsid w:val="06510766"/>
    <w:rsid w:val="06565D7C"/>
    <w:rsid w:val="06713528"/>
    <w:rsid w:val="068F0FEB"/>
    <w:rsid w:val="069D7E4F"/>
    <w:rsid w:val="06BD2204"/>
    <w:rsid w:val="06D80E87"/>
    <w:rsid w:val="06DE46EF"/>
    <w:rsid w:val="06E25862"/>
    <w:rsid w:val="07041C7C"/>
    <w:rsid w:val="071C6FC5"/>
    <w:rsid w:val="073E6747"/>
    <w:rsid w:val="079C2A27"/>
    <w:rsid w:val="07B97A73"/>
    <w:rsid w:val="07F3586E"/>
    <w:rsid w:val="0869623A"/>
    <w:rsid w:val="08871752"/>
    <w:rsid w:val="08DF474E"/>
    <w:rsid w:val="08E6719D"/>
    <w:rsid w:val="098B3F8E"/>
    <w:rsid w:val="09EB0ED1"/>
    <w:rsid w:val="0A3409E7"/>
    <w:rsid w:val="0A40121D"/>
    <w:rsid w:val="0AE61DC4"/>
    <w:rsid w:val="0B0B0B14"/>
    <w:rsid w:val="0B5D7BAD"/>
    <w:rsid w:val="0B5F1B77"/>
    <w:rsid w:val="0B6947A3"/>
    <w:rsid w:val="0B9C6927"/>
    <w:rsid w:val="0BB51797"/>
    <w:rsid w:val="0C060244"/>
    <w:rsid w:val="0C5E1E2E"/>
    <w:rsid w:val="0C9D4087"/>
    <w:rsid w:val="0CC779D3"/>
    <w:rsid w:val="0CC96637"/>
    <w:rsid w:val="0CDD66EE"/>
    <w:rsid w:val="0CF32576"/>
    <w:rsid w:val="0CFD5F5B"/>
    <w:rsid w:val="0D07132C"/>
    <w:rsid w:val="0D356EC6"/>
    <w:rsid w:val="0D466B4A"/>
    <w:rsid w:val="0D7754AA"/>
    <w:rsid w:val="0DD73C46"/>
    <w:rsid w:val="0E3A5F83"/>
    <w:rsid w:val="0E642F02"/>
    <w:rsid w:val="0E6A4AAB"/>
    <w:rsid w:val="0E7D2A40"/>
    <w:rsid w:val="0ECE2B6F"/>
    <w:rsid w:val="0EFB5BA4"/>
    <w:rsid w:val="0F205179"/>
    <w:rsid w:val="0F2F0DED"/>
    <w:rsid w:val="0F39623B"/>
    <w:rsid w:val="0F5903DB"/>
    <w:rsid w:val="0F601A19"/>
    <w:rsid w:val="0F7A2ADB"/>
    <w:rsid w:val="0FA47B58"/>
    <w:rsid w:val="0FBF71DA"/>
    <w:rsid w:val="0FC179CB"/>
    <w:rsid w:val="0FDD4AFE"/>
    <w:rsid w:val="0FEB3DCE"/>
    <w:rsid w:val="10134CDE"/>
    <w:rsid w:val="101822F4"/>
    <w:rsid w:val="10433815"/>
    <w:rsid w:val="1045758D"/>
    <w:rsid w:val="10855BDB"/>
    <w:rsid w:val="10FF5267"/>
    <w:rsid w:val="11137F3C"/>
    <w:rsid w:val="119B0DBD"/>
    <w:rsid w:val="11BC746C"/>
    <w:rsid w:val="11CC3396"/>
    <w:rsid w:val="11DA7A11"/>
    <w:rsid w:val="11E20E0C"/>
    <w:rsid w:val="11E701D0"/>
    <w:rsid w:val="11EE77B0"/>
    <w:rsid w:val="12645DA7"/>
    <w:rsid w:val="12652AFF"/>
    <w:rsid w:val="12655CC4"/>
    <w:rsid w:val="127A1044"/>
    <w:rsid w:val="127D58DE"/>
    <w:rsid w:val="12C7072D"/>
    <w:rsid w:val="12CF313E"/>
    <w:rsid w:val="12E56E05"/>
    <w:rsid w:val="12F31522"/>
    <w:rsid w:val="13531AEE"/>
    <w:rsid w:val="13547AE7"/>
    <w:rsid w:val="139879D4"/>
    <w:rsid w:val="13BF1404"/>
    <w:rsid w:val="144C34F6"/>
    <w:rsid w:val="145F04F1"/>
    <w:rsid w:val="14B7657F"/>
    <w:rsid w:val="14D0319D"/>
    <w:rsid w:val="14D62D12"/>
    <w:rsid w:val="15143E7B"/>
    <w:rsid w:val="155E69FB"/>
    <w:rsid w:val="15610299"/>
    <w:rsid w:val="15D54F0F"/>
    <w:rsid w:val="164D55E0"/>
    <w:rsid w:val="165F0C7D"/>
    <w:rsid w:val="16CD5BE6"/>
    <w:rsid w:val="16D030FA"/>
    <w:rsid w:val="16D43419"/>
    <w:rsid w:val="16DE7DF3"/>
    <w:rsid w:val="1706559C"/>
    <w:rsid w:val="17875ADE"/>
    <w:rsid w:val="17A616E0"/>
    <w:rsid w:val="17F70C68"/>
    <w:rsid w:val="18100480"/>
    <w:rsid w:val="182A754B"/>
    <w:rsid w:val="18300B23"/>
    <w:rsid w:val="183A374F"/>
    <w:rsid w:val="184243B2"/>
    <w:rsid w:val="18736FCF"/>
    <w:rsid w:val="18DE232D"/>
    <w:rsid w:val="18EF453A"/>
    <w:rsid w:val="18F3051D"/>
    <w:rsid w:val="199D50BC"/>
    <w:rsid w:val="19BB266E"/>
    <w:rsid w:val="19C21C4E"/>
    <w:rsid w:val="19F10AE8"/>
    <w:rsid w:val="1A1D12CB"/>
    <w:rsid w:val="1A616A3D"/>
    <w:rsid w:val="1A6E148E"/>
    <w:rsid w:val="1A710F7F"/>
    <w:rsid w:val="1ABB720C"/>
    <w:rsid w:val="1B0076CA"/>
    <w:rsid w:val="1B027E29"/>
    <w:rsid w:val="1BD64ACC"/>
    <w:rsid w:val="1BDE43F2"/>
    <w:rsid w:val="1BE91714"/>
    <w:rsid w:val="1BFE6842"/>
    <w:rsid w:val="1C3E0A53"/>
    <w:rsid w:val="1C6829D9"/>
    <w:rsid w:val="1CF36B1D"/>
    <w:rsid w:val="1D0E6058"/>
    <w:rsid w:val="1D69634D"/>
    <w:rsid w:val="1D8A0E23"/>
    <w:rsid w:val="1DA653E3"/>
    <w:rsid w:val="1DBD4295"/>
    <w:rsid w:val="1DCF493A"/>
    <w:rsid w:val="1E18340C"/>
    <w:rsid w:val="1E44362C"/>
    <w:rsid w:val="1E634910"/>
    <w:rsid w:val="1EFA3C38"/>
    <w:rsid w:val="1F3B252B"/>
    <w:rsid w:val="1F575EF7"/>
    <w:rsid w:val="1F634DD9"/>
    <w:rsid w:val="1F647304"/>
    <w:rsid w:val="1F751511"/>
    <w:rsid w:val="1F88610E"/>
    <w:rsid w:val="1FCF0C21"/>
    <w:rsid w:val="203C5B8B"/>
    <w:rsid w:val="205A73C1"/>
    <w:rsid w:val="20847C5E"/>
    <w:rsid w:val="209532C2"/>
    <w:rsid w:val="211B43B8"/>
    <w:rsid w:val="21611D4D"/>
    <w:rsid w:val="219F2875"/>
    <w:rsid w:val="21B420D0"/>
    <w:rsid w:val="220306F8"/>
    <w:rsid w:val="223631D9"/>
    <w:rsid w:val="226D64CF"/>
    <w:rsid w:val="22851BDC"/>
    <w:rsid w:val="229677D4"/>
    <w:rsid w:val="22FB3ADB"/>
    <w:rsid w:val="22FF181D"/>
    <w:rsid w:val="23145F33"/>
    <w:rsid w:val="23533594"/>
    <w:rsid w:val="23BF3B72"/>
    <w:rsid w:val="245E07C6"/>
    <w:rsid w:val="24743B45"/>
    <w:rsid w:val="247D50F0"/>
    <w:rsid w:val="24B837CF"/>
    <w:rsid w:val="24BE74B6"/>
    <w:rsid w:val="251D6943"/>
    <w:rsid w:val="253231AF"/>
    <w:rsid w:val="25861D82"/>
    <w:rsid w:val="25B83F05"/>
    <w:rsid w:val="25E76599"/>
    <w:rsid w:val="25E90482"/>
    <w:rsid w:val="25F57602"/>
    <w:rsid w:val="267E514F"/>
    <w:rsid w:val="26A36964"/>
    <w:rsid w:val="26AE7122"/>
    <w:rsid w:val="27013C95"/>
    <w:rsid w:val="27034D22"/>
    <w:rsid w:val="2710128D"/>
    <w:rsid w:val="271473A5"/>
    <w:rsid w:val="271B299E"/>
    <w:rsid w:val="2730304F"/>
    <w:rsid w:val="275B776C"/>
    <w:rsid w:val="277125BE"/>
    <w:rsid w:val="278C389C"/>
    <w:rsid w:val="28562B7E"/>
    <w:rsid w:val="285C70B0"/>
    <w:rsid w:val="289B4897"/>
    <w:rsid w:val="29483D00"/>
    <w:rsid w:val="29581C87"/>
    <w:rsid w:val="29EE7EF6"/>
    <w:rsid w:val="2A273408"/>
    <w:rsid w:val="2A41096D"/>
    <w:rsid w:val="2A5D09F9"/>
    <w:rsid w:val="2A67500E"/>
    <w:rsid w:val="2B0025D7"/>
    <w:rsid w:val="2B0F281A"/>
    <w:rsid w:val="2B2F07C6"/>
    <w:rsid w:val="2B4D6E9E"/>
    <w:rsid w:val="2B6A5CA2"/>
    <w:rsid w:val="2B7261A5"/>
    <w:rsid w:val="2BB807BB"/>
    <w:rsid w:val="2BBF5FEE"/>
    <w:rsid w:val="2C0E2AD1"/>
    <w:rsid w:val="2C2A448F"/>
    <w:rsid w:val="2C46202B"/>
    <w:rsid w:val="2C9A411F"/>
    <w:rsid w:val="2CAB47C4"/>
    <w:rsid w:val="2CDD6662"/>
    <w:rsid w:val="2CEA5A9B"/>
    <w:rsid w:val="2D371BB4"/>
    <w:rsid w:val="2D5A4622"/>
    <w:rsid w:val="2D9D235F"/>
    <w:rsid w:val="2DC5220F"/>
    <w:rsid w:val="2E132621"/>
    <w:rsid w:val="2E3C71D1"/>
    <w:rsid w:val="2E4F3849"/>
    <w:rsid w:val="2E935510"/>
    <w:rsid w:val="2E9574DA"/>
    <w:rsid w:val="2EA764E9"/>
    <w:rsid w:val="2ECD27D0"/>
    <w:rsid w:val="2F190261"/>
    <w:rsid w:val="2F3058D7"/>
    <w:rsid w:val="2F662A91"/>
    <w:rsid w:val="2F713AA3"/>
    <w:rsid w:val="2FB06253"/>
    <w:rsid w:val="2FCC2A87"/>
    <w:rsid w:val="2FD05FAC"/>
    <w:rsid w:val="2FD11EA1"/>
    <w:rsid w:val="2FE36023"/>
    <w:rsid w:val="302503E9"/>
    <w:rsid w:val="30513F6B"/>
    <w:rsid w:val="30723355"/>
    <w:rsid w:val="30EB3D2E"/>
    <w:rsid w:val="314F5BF4"/>
    <w:rsid w:val="315F792B"/>
    <w:rsid w:val="31AB491E"/>
    <w:rsid w:val="31D76803"/>
    <w:rsid w:val="31E24CDA"/>
    <w:rsid w:val="32080F61"/>
    <w:rsid w:val="3231650B"/>
    <w:rsid w:val="324967A6"/>
    <w:rsid w:val="32543BB7"/>
    <w:rsid w:val="3297190A"/>
    <w:rsid w:val="32977D68"/>
    <w:rsid w:val="32C029C5"/>
    <w:rsid w:val="32F25646"/>
    <w:rsid w:val="33233306"/>
    <w:rsid w:val="332C1A8F"/>
    <w:rsid w:val="336254B1"/>
    <w:rsid w:val="33AD0A81"/>
    <w:rsid w:val="33BC72B7"/>
    <w:rsid w:val="347A695F"/>
    <w:rsid w:val="34E56399"/>
    <w:rsid w:val="34F605A6"/>
    <w:rsid w:val="35366BF5"/>
    <w:rsid w:val="35415CC5"/>
    <w:rsid w:val="35BC0625"/>
    <w:rsid w:val="3628478F"/>
    <w:rsid w:val="363E2205"/>
    <w:rsid w:val="364F7F77"/>
    <w:rsid w:val="366805AA"/>
    <w:rsid w:val="36966654"/>
    <w:rsid w:val="37066CD8"/>
    <w:rsid w:val="37160A8C"/>
    <w:rsid w:val="375B3C7B"/>
    <w:rsid w:val="37DA5F5D"/>
    <w:rsid w:val="37E73599"/>
    <w:rsid w:val="381C203A"/>
    <w:rsid w:val="381E7D5B"/>
    <w:rsid w:val="381F57EC"/>
    <w:rsid w:val="383E029A"/>
    <w:rsid w:val="3848736B"/>
    <w:rsid w:val="38D1110E"/>
    <w:rsid w:val="38D65D2E"/>
    <w:rsid w:val="38E0213B"/>
    <w:rsid w:val="38EC5AC5"/>
    <w:rsid w:val="39161217"/>
    <w:rsid w:val="39440A0C"/>
    <w:rsid w:val="3958510F"/>
    <w:rsid w:val="39745705"/>
    <w:rsid w:val="397C3428"/>
    <w:rsid w:val="39A0651E"/>
    <w:rsid w:val="39B32F0A"/>
    <w:rsid w:val="39C12F31"/>
    <w:rsid w:val="39F21FF1"/>
    <w:rsid w:val="3A3F02FA"/>
    <w:rsid w:val="3A4A73CA"/>
    <w:rsid w:val="3A9C399E"/>
    <w:rsid w:val="3AA840F1"/>
    <w:rsid w:val="3AC86D06"/>
    <w:rsid w:val="3AE07D2F"/>
    <w:rsid w:val="3B4652EE"/>
    <w:rsid w:val="3B6540C9"/>
    <w:rsid w:val="3B6E70E8"/>
    <w:rsid w:val="3BAF34BD"/>
    <w:rsid w:val="3BF75330"/>
    <w:rsid w:val="3C2D2B00"/>
    <w:rsid w:val="3C8F7316"/>
    <w:rsid w:val="3CA60B04"/>
    <w:rsid w:val="3CC82828"/>
    <w:rsid w:val="3CC93F81"/>
    <w:rsid w:val="3D015D3A"/>
    <w:rsid w:val="3D115F7D"/>
    <w:rsid w:val="3D1C2B81"/>
    <w:rsid w:val="3D267967"/>
    <w:rsid w:val="3D2F0AF9"/>
    <w:rsid w:val="3D3C2DF3"/>
    <w:rsid w:val="3DAA0180"/>
    <w:rsid w:val="3DCE2748"/>
    <w:rsid w:val="3E037A5A"/>
    <w:rsid w:val="3E343405"/>
    <w:rsid w:val="3E6B5B61"/>
    <w:rsid w:val="3EE0400F"/>
    <w:rsid w:val="3EF05D19"/>
    <w:rsid w:val="3EF617D4"/>
    <w:rsid w:val="3F422D66"/>
    <w:rsid w:val="3F4F7231"/>
    <w:rsid w:val="3F8073EA"/>
    <w:rsid w:val="3F9D1D4A"/>
    <w:rsid w:val="3FCC0278"/>
    <w:rsid w:val="402204A1"/>
    <w:rsid w:val="402F4201"/>
    <w:rsid w:val="407E5380"/>
    <w:rsid w:val="40813D5A"/>
    <w:rsid w:val="408D5A13"/>
    <w:rsid w:val="40923879"/>
    <w:rsid w:val="40C477AB"/>
    <w:rsid w:val="410874ED"/>
    <w:rsid w:val="414A1A98"/>
    <w:rsid w:val="4153125A"/>
    <w:rsid w:val="415E7BFF"/>
    <w:rsid w:val="41717932"/>
    <w:rsid w:val="41B917FB"/>
    <w:rsid w:val="420A3BEA"/>
    <w:rsid w:val="4224583F"/>
    <w:rsid w:val="422D22D9"/>
    <w:rsid w:val="424566C9"/>
    <w:rsid w:val="426D634C"/>
    <w:rsid w:val="42ED4D97"/>
    <w:rsid w:val="43033C63"/>
    <w:rsid w:val="43123E31"/>
    <w:rsid w:val="43470FC7"/>
    <w:rsid w:val="4352109E"/>
    <w:rsid w:val="436F39FE"/>
    <w:rsid w:val="43D441A9"/>
    <w:rsid w:val="43EF4B3E"/>
    <w:rsid w:val="43F62371"/>
    <w:rsid w:val="440E3217"/>
    <w:rsid w:val="443C62AD"/>
    <w:rsid w:val="44496945"/>
    <w:rsid w:val="445E5727"/>
    <w:rsid w:val="446B68BB"/>
    <w:rsid w:val="44853D64"/>
    <w:rsid w:val="44BC709F"/>
    <w:rsid w:val="44EF2AC9"/>
    <w:rsid w:val="456232A8"/>
    <w:rsid w:val="459E4A6E"/>
    <w:rsid w:val="45D27CA6"/>
    <w:rsid w:val="45EF1B58"/>
    <w:rsid w:val="461A2A60"/>
    <w:rsid w:val="4670640B"/>
    <w:rsid w:val="46792EF0"/>
    <w:rsid w:val="469320F9"/>
    <w:rsid w:val="469A6FE4"/>
    <w:rsid w:val="46F012F9"/>
    <w:rsid w:val="47B35D41"/>
    <w:rsid w:val="47CF7161"/>
    <w:rsid w:val="47DC3AFC"/>
    <w:rsid w:val="480C6429"/>
    <w:rsid w:val="48EE315D"/>
    <w:rsid w:val="48F74BC1"/>
    <w:rsid w:val="491237A9"/>
    <w:rsid w:val="493C0826"/>
    <w:rsid w:val="497A30FC"/>
    <w:rsid w:val="49836455"/>
    <w:rsid w:val="4A1D0657"/>
    <w:rsid w:val="4A2E4058"/>
    <w:rsid w:val="4A5971B6"/>
    <w:rsid w:val="4A5D4EF8"/>
    <w:rsid w:val="4A9F72BE"/>
    <w:rsid w:val="4ADE76E1"/>
    <w:rsid w:val="4AE92146"/>
    <w:rsid w:val="4B2477C4"/>
    <w:rsid w:val="4B8D35BB"/>
    <w:rsid w:val="4BA803F5"/>
    <w:rsid w:val="4BFE0015"/>
    <w:rsid w:val="4C365A00"/>
    <w:rsid w:val="4C9B5D15"/>
    <w:rsid w:val="4CBA03DF"/>
    <w:rsid w:val="4CEE0089"/>
    <w:rsid w:val="4D073B49"/>
    <w:rsid w:val="4D1F46E6"/>
    <w:rsid w:val="4D2B4E39"/>
    <w:rsid w:val="4D6F754A"/>
    <w:rsid w:val="4D875DE8"/>
    <w:rsid w:val="4D9462E6"/>
    <w:rsid w:val="4DDD5524"/>
    <w:rsid w:val="4E06417D"/>
    <w:rsid w:val="4E4B5067"/>
    <w:rsid w:val="4E8D38D2"/>
    <w:rsid w:val="4E8F1C9C"/>
    <w:rsid w:val="4E962786"/>
    <w:rsid w:val="4EE94FAC"/>
    <w:rsid w:val="4F1F09CE"/>
    <w:rsid w:val="4F820F5D"/>
    <w:rsid w:val="4FF647F3"/>
    <w:rsid w:val="50267B3A"/>
    <w:rsid w:val="504601DC"/>
    <w:rsid w:val="50546DFB"/>
    <w:rsid w:val="50F8395A"/>
    <w:rsid w:val="510F4A72"/>
    <w:rsid w:val="511A58F1"/>
    <w:rsid w:val="5134057D"/>
    <w:rsid w:val="514767A9"/>
    <w:rsid w:val="51864D34"/>
    <w:rsid w:val="5188302A"/>
    <w:rsid w:val="519E5A8E"/>
    <w:rsid w:val="51D15A56"/>
    <w:rsid w:val="51FF4AE6"/>
    <w:rsid w:val="52C8312A"/>
    <w:rsid w:val="52CA50F4"/>
    <w:rsid w:val="52F67C97"/>
    <w:rsid w:val="52FA112A"/>
    <w:rsid w:val="533F163E"/>
    <w:rsid w:val="53915C12"/>
    <w:rsid w:val="543F11CA"/>
    <w:rsid w:val="54404705"/>
    <w:rsid w:val="54426182"/>
    <w:rsid w:val="548337C0"/>
    <w:rsid w:val="553B6D26"/>
    <w:rsid w:val="55570796"/>
    <w:rsid w:val="55AF05D2"/>
    <w:rsid w:val="56186810"/>
    <w:rsid w:val="56500F3E"/>
    <w:rsid w:val="57364071"/>
    <w:rsid w:val="57B65C47"/>
    <w:rsid w:val="57E91811"/>
    <w:rsid w:val="57E97DCB"/>
    <w:rsid w:val="57FD73D2"/>
    <w:rsid w:val="584D2D67"/>
    <w:rsid w:val="585010D7"/>
    <w:rsid w:val="585B3B3E"/>
    <w:rsid w:val="588E44CE"/>
    <w:rsid w:val="58CD4FF7"/>
    <w:rsid w:val="58EB36CF"/>
    <w:rsid w:val="590B5B1F"/>
    <w:rsid w:val="59133697"/>
    <w:rsid w:val="59422FCD"/>
    <w:rsid w:val="5953730C"/>
    <w:rsid w:val="59AC10B0"/>
    <w:rsid w:val="59EA607C"/>
    <w:rsid w:val="5A275891"/>
    <w:rsid w:val="5AC71F19"/>
    <w:rsid w:val="5AD52888"/>
    <w:rsid w:val="5AE65A57"/>
    <w:rsid w:val="5AF5259A"/>
    <w:rsid w:val="5AFE3B8D"/>
    <w:rsid w:val="5B70610D"/>
    <w:rsid w:val="5BB029AE"/>
    <w:rsid w:val="5BB22BCA"/>
    <w:rsid w:val="5BBB1A7E"/>
    <w:rsid w:val="5BE732EB"/>
    <w:rsid w:val="5BF01225"/>
    <w:rsid w:val="5C457AFE"/>
    <w:rsid w:val="5C735EB5"/>
    <w:rsid w:val="5C984618"/>
    <w:rsid w:val="5CBA69FC"/>
    <w:rsid w:val="5CE13766"/>
    <w:rsid w:val="5D066AB3"/>
    <w:rsid w:val="5D123381"/>
    <w:rsid w:val="5D123920"/>
    <w:rsid w:val="5D665A1A"/>
    <w:rsid w:val="5D885990"/>
    <w:rsid w:val="5DA950A2"/>
    <w:rsid w:val="5DF9683C"/>
    <w:rsid w:val="5E282CCF"/>
    <w:rsid w:val="5E5D296F"/>
    <w:rsid w:val="5E8B4CB4"/>
    <w:rsid w:val="5EA22A81"/>
    <w:rsid w:val="5EB47002"/>
    <w:rsid w:val="5ECB022A"/>
    <w:rsid w:val="5F091E6F"/>
    <w:rsid w:val="5F24793A"/>
    <w:rsid w:val="5F3C6B9F"/>
    <w:rsid w:val="5F531FCE"/>
    <w:rsid w:val="5F6D7533"/>
    <w:rsid w:val="5F954394"/>
    <w:rsid w:val="5FBC5DC5"/>
    <w:rsid w:val="5FCD52BA"/>
    <w:rsid w:val="5FFC4413"/>
    <w:rsid w:val="606C3347"/>
    <w:rsid w:val="60827A76"/>
    <w:rsid w:val="60C206DA"/>
    <w:rsid w:val="60DA0BF8"/>
    <w:rsid w:val="60EE1FAE"/>
    <w:rsid w:val="61187DA0"/>
    <w:rsid w:val="614E2CDC"/>
    <w:rsid w:val="6198016C"/>
    <w:rsid w:val="61C43E5B"/>
    <w:rsid w:val="61CD35B4"/>
    <w:rsid w:val="61CD6067"/>
    <w:rsid w:val="61D05B58"/>
    <w:rsid w:val="62195750"/>
    <w:rsid w:val="6291178B"/>
    <w:rsid w:val="629848C7"/>
    <w:rsid w:val="62B86D17"/>
    <w:rsid w:val="630A6E47"/>
    <w:rsid w:val="633C3B99"/>
    <w:rsid w:val="63517912"/>
    <w:rsid w:val="63650559"/>
    <w:rsid w:val="638B532D"/>
    <w:rsid w:val="638C0289"/>
    <w:rsid w:val="63D3192F"/>
    <w:rsid w:val="63E43B3C"/>
    <w:rsid w:val="644C37C0"/>
    <w:rsid w:val="647F0E98"/>
    <w:rsid w:val="648D7D30"/>
    <w:rsid w:val="64A951B6"/>
    <w:rsid w:val="64EE4C72"/>
    <w:rsid w:val="655067F7"/>
    <w:rsid w:val="65931376"/>
    <w:rsid w:val="659770B8"/>
    <w:rsid w:val="65985371"/>
    <w:rsid w:val="65D80D8D"/>
    <w:rsid w:val="65E676F8"/>
    <w:rsid w:val="65FA7647"/>
    <w:rsid w:val="660758C0"/>
    <w:rsid w:val="661F2D58"/>
    <w:rsid w:val="66A56EBD"/>
    <w:rsid w:val="66D75D7F"/>
    <w:rsid w:val="66E916A3"/>
    <w:rsid w:val="67386679"/>
    <w:rsid w:val="67486190"/>
    <w:rsid w:val="67A81D26"/>
    <w:rsid w:val="67B33F51"/>
    <w:rsid w:val="67CE0D8B"/>
    <w:rsid w:val="6807370A"/>
    <w:rsid w:val="68996CA3"/>
    <w:rsid w:val="68A27EF9"/>
    <w:rsid w:val="68B00491"/>
    <w:rsid w:val="68B730D3"/>
    <w:rsid w:val="68C8616D"/>
    <w:rsid w:val="68FB795E"/>
    <w:rsid w:val="69112CDD"/>
    <w:rsid w:val="699F1BBD"/>
    <w:rsid w:val="69D14212"/>
    <w:rsid w:val="6ABE0C43"/>
    <w:rsid w:val="6AC67AF8"/>
    <w:rsid w:val="6AC83870"/>
    <w:rsid w:val="6B421874"/>
    <w:rsid w:val="6BA047ED"/>
    <w:rsid w:val="6BA879CF"/>
    <w:rsid w:val="6C6562A5"/>
    <w:rsid w:val="6C8639E2"/>
    <w:rsid w:val="6CBB0D83"/>
    <w:rsid w:val="6CCC40C7"/>
    <w:rsid w:val="6CDE381E"/>
    <w:rsid w:val="6D01750D"/>
    <w:rsid w:val="6D1A237D"/>
    <w:rsid w:val="6D2A25C0"/>
    <w:rsid w:val="6D486EEA"/>
    <w:rsid w:val="6D6D1835"/>
    <w:rsid w:val="6D8D6129"/>
    <w:rsid w:val="6DA57E98"/>
    <w:rsid w:val="6DAB546F"/>
    <w:rsid w:val="6E0E1EE1"/>
    <w:rsid w:val="6E2039C3"/>
    <w:rsid w:val="6E4E0530"/>
    <w:rsid w:val="6E761835"/>
    <w:rsid w:val="6E852B1D"/>
    <w:rsid w:val="6EDD18B4"/>
    <w:rsid w:val="6EE82732"/>
    <w:rsid w:val="6F2475B1"/>
    <w:rsid w:val="6FF173C5"/>
    <w:rsid w:val="701C4236"/>
    <w:rsid w:val="70425E72"/>
    <w:rsid w:val="706B1809"/>
    <w:rsid w:val="70BC31AA"/>
    <w:rsid w:val="71157062"/>
    <w:rsid w:val="71593474"/>
    <w:rsid w:val="71725B89"/>
    <w:rsid w:val="71730BD4"/>
    <w:rsid w:val="718B5587"/>
    <w:rsid w:val="71C56101"/>
    <w:rsid w:val="71CC1122"/>
    <w:rsid w:val="722142B5"/>
    <w:rsid w:val="72501A6B"/>
    <w:rsid w:val="72D11C90"/>
    <w:rsid w:val="72DB0B26"/>
    <w:rsid w:val="7318110C"/>
    <w:rsid w:val="73512904"/>
    <w:rsid w:val="735760D9"/>
    <w:rsid w:val="73691E21"/>
    <w:rsid w:val="737640DA"/>
    <w:rsid w:val="73B13A3B"/>
    <w:rsid w:val="73F93E61"/>
    <w:rsid w:val="74035919"/>
    <w:rsid w:val="74143FCA"/>
    <w:rsid w:val="74365CEE"/>
    <w:rsid w:val="74934EEE"/>
    <w:rsid w:val="74B51107"/>
    <w:rsid w:val="74CC21AE"/>
    <w:rsid w:val="74F41EF5"/>
    <w:rsid w:val="75243D99"/>
    <w:rsid w:val="75357D54"/>
    <w:rsid w:val="755C3532"/>
    <w:rsid w:val="75890257"/>
    <w:rsid w:val="75916165"/>
    <w:rsid w:val="76191423"/>
    <w:rsid w:val="76351385"/>
    <w:rsid w:val="76593F16"/>
    <w:rsid w:val="766934CC"/>
    <w:rsid w:val="767706B0"/>
    <w:rsid w:val="769211D6"/>
    <w:rsid w:val="7766284E"/>
    <w:rsid w:val="776B727A"/>
    <w:rsid w:val="779667DF"/>
    <w:rsid w:val="77A06E61"/>
    <w:rsid w:val="77E4475F"/>
    <w:rsid w:val="78120820"/>
    <w:rsid w:val="78434E7D"/>
    <w:rsid w:val="78450BF6"/>
    <w:rsid w:val="789A3F6D"/>
    <w:rsid w:val="78B35B5F"/>
    <w:rsid w:val="78BF7D2B"/>
    <w:rsid w:val="78C55892"/>
    <w:rsid w:val="78CC53C3"/>
    <w:rsid w:val="78E33F6B"/>
    <w:rsid w:val="79821EA9"/>
    <w:rsid w:val="799538FB"/>
    <w:rsid w:val="79AB4A88"/>
    <w:rsid w:val="79C21DD2"/>
    <w:rsid w:val="79C36276"/>
    <w:rsid w:val="7A0F3269"/>
    <w:rsid w:val="7A2B3E1B"/>
    <w:rsid w:val="7A7B0F26"/>
    <w:rsid w:val="7A8C2922"/>
    <w:rsid w:val="7AA00365"/>
    <w:rsid w:val="7ACA53E2"/>
    <w:rsid w:val="7B584432"/>
    <w:rsid w:val="7BAB6BF4"/>
    <w:rsid w:val="7BCF4551"/>
    <w:rsid w:val="7C122B9D"/>
    <w:rsid w:val="7C350F81"/>
    <w:rsid w:val="7C372988"/>
    <w:rsid w:val="7C596A1E"/>
    <w:rsid w:val="7CD95A03"/>
    <w:rsid w:val="7CDB25CD"/>
    <w:rsid w:val="7CDE33C7"/>
    <w:rsid w:val="7CFD0A8D"/>
    <w:rsid w:val="7D2708CA"/>
    <w:rsid w:val="7DA4016C"/>
    <w:rsid w:val="7DBB7264"/>
    <w:rsid w:val="7DE11CB2"/>
    <w:rsid w:val="7E17093E"/>
    <w:rsid w:val="7E2117BD"/>
    <w:rsid w:val="7E244105"/>
    <w:rsid w:val="7E2C3CBE"/>
    <w:rsid w:val="7E484B5C"/>
    <w:rsid w:val="7E837D82"/>
    <w:rsid w:val="7EA30B67"/>
    <w:rsid w:val="7EEE0838"/>
    <w:rsid w:val="7F431CAA"/>
    <w:rsid w:val="7F5B5141"/>
    <w:rsid w:val="7F875650"/>
    <w:rsid w:val="7F9B734D"/>
    <w:rsid w:val="7FAF1A0C"/>
    <w:rsid w:val="7FC76D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jc w:val="left"/>
    </w:pPr>
    <w:rPr>
      <w:rFonts w:ascii="Times New Roman" w:hAnsi="Times New Roman" w:eastAsia="宋体"/>
    </w:rPr>
  </w:style>
  <w:style w:type="paragraph" w:styleId="3">
    <w:name w:val="Body Text Indent"/>
    <w:basedOn w:val="1"/>
    <w:qFormat/>
    <w:uiPriority w:val="0"/>
    <w:pPr>
      <w:spacing w:after="120" w:afterLines="0"/>
      <w:ind w:left="420" w:leftChars="200"/>
    </w:p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13354</Words>
  <Characters>14822</Characters>
  <Lines>1</Lines>
  <Paragraphs>1</Paragraphs>
  <TotalTime>40</TotalTime>
  <ScaleCrop>false</ScaleCrop>
  <LinksUpToDate>false</LinksUpToDate>
  <CharactersWithSpaces>14919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2022-05-26T07:43:14Z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