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123"/>
        <w:gridCol w:w="994"/>
        <w:gridCol w:w="2"/>
        <w:gridCol w:w="743"/>
        <w:gridCol w:w="2"/>
        <w:gridCol w:w="9275"/>
        <w:gridCol w:w="156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15" w:hRule="atLeast"/>
        </w:trPr>
        <w:tc>
          <w:tcPr>
            <w:tcW w:w="2128"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22" w:type="dxa"/>
            <w:gridSpan w:val="4"/>
            <w:vAlign w:val="center"/>
          </w:tcPr>
          <w:p>
            <w:pPr>
              <w:rPr>
                <w:rFonts w:hint="default"/>
                <w:sz w:val="24"/>
                <w:szCs w:val="24"/>
                <w:lang w:val="en-US"/>
              </w:rPr>
            </w:pPr>
            <w:r>
              <w:rPr>
                <w:rFonts w:hint="eastAsia"/>
                <w:sz w:val="24"/>
                <w:szCs w:val="24"/>
              </w:rPr>
              <w:t xml:space="preserve">受审核部门：食品安全小组         </w:t>
            </w:r>
            <w:r>
              <w:rPr>
                <w:rFonts w:hint="eastAsia"/>
                <w:color w:val="000000"/>
                <w:sz w:val="24"/>
                <w:szCs w:val="24"/>
              </w:rPr>
              <w:t>主管领导：</w:t>
            </w:r>
            <w:r>
              <w:rPr>
                <w:rFonts w:hint="eastAsia"/>
                <w:color w:val="000000"/>
                <w:sz w:val="24"/>
                <w:szCs w:val="24"/>
                <w:lang w:val="en-US" w:eastAsia="zh-CN"/>
              </w:rPr>
              <w:t>张宗现</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徐仕杰</w:t>
            </w:r>
          </w:p>
        </w:tc>
        <w:tc>
          <w:tcPr>
            <w:tcW w:w="15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03" w:hRule="atLeast"/>
        </w:trPr>
        <w:tc>
          <w:tcPr>
            <w:tcW w:w="2128" w:type="dxa"/>
            <w:gridSpan w:val="2"/>
            <w:vMerge w:val="continue"/>
            <w:vAlign w:val="center"/>
          </w:tcPr>
          <w:p/>
        </w:tc>
        <w:tc>
          <w:tcPr>
            <w:tcW w:w="994" w:type="dxa"/>
            <w:vMerge w:val="continue"/>
            <w:vAlign w:val="center"/>
          </w:tcPr>
          <w:p/>
        </w:tc>
        <w:tc>
          <w:tcPr>
            <w:tcW w:w="10022" w:type="dxa"/>
            <w:gridSpan w:val="4"/>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sz w:val="24"/>
                <w:szCs w:val="24"/>
                <w:lang w:val="en-US" w:eastAsia="zh-CN"/>
              </w:rPr>
              <w:t xml:space="preserve"> </w:t>
            </w:r>
            <w:r>
              <w:rPr>
                <w:sz w:val="24"/>
                <w:szCs w:val="24"/>
              </w:rPr>
              <w:t xml:space="preserve">      </w:t>
            </w:r>
            <w:r>
              <w:rPr>
                <w:rFonts w:hint="eastAsia"/>
                <w:sz w:val="24"/>
                <w:szCs w:val="24"/>
              </w:rPr>
              <w:t>审核日期：</w:t>
            </w:r>
            <w:r>
              <w:rPr>
                <w:rFonts w:hint="eastAsia"/>
                <w:sz w:val="24"/>
                <w:szCs w:val="24"/>
                <w:lang w:val="en-US" w:eastAsia="zh-CN"/>
              </w:rPr>
              <w:t>2022-04-24下午</w:t>
            </w:r>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16" w:hRule="atLeast"/>
        </w:trPr>
        <w:tc>
          <w:tcPr>
            <w:tcW w:w="2128" w:type="dxa"/>
            <w:gridSpan w:val="2"/>
            <w:vMerge w:val="continue"/>
            <w:vAlign w:val="center"/>
          </w:tcPr>
          <w:p/>
        </w:tc>
        <w:tc>
          <w:tcPr>
            <w:tcW w:w="994" w:type="dxa"/>
            <w:vMerge w:val="continue"/>
            <w:vAlign w:val="center"/>
          </w:tcPr>
          <w:p/>
        </w:tc>
        <w:tc>
          <w:tcPr>
            <w:tcW w:w="10022" w:type="dxa"/>
            <w:gridSpan w:val="4"/>
            <w:vAlign w:val="center"/>
          </w:tcPr>
          <w:p>
            <w:pPr>
              <w:autoSpaceDE w:val="0"/>
              <w:autoSpaceDN w:val="0"/>
              <w:adjustRightInd w:val="0"/>
              <w:spacing w:line="360" w:lineRule="auto"/>
              <w:jc w:val="left"/>
              <w:rPr>
                <w:rFonts w:hint="eastAsia"/>
              </w:rPr>
            </w:pPr>
            <w:r>
              <w:rPr>
                <w:rFonts w:hint="eastAsia"/>
              </w:rPr>
              <w:t>审核条款：</w:t>
            </w:r>
          </w:p>
          <w:p>
            <w:pPr>
              <w:autoSpaceDE w:val="0"/>
              <w:autoSpaceDN w:val="0"/>
              <w:adjustRightInd w:val="0"/>
              <w:spacing w:line="360" w:lineRule="auto"/>
              <w:jc w:val="left"/>
              <w:rPr>
                <w:rFonts w:hint="default"/>
                <w:lang w:val="en-US" w:eastAsia="zh-CN"/>
              </w:rPr>
            </w:pPr>
            <w:r>
              <w:rPr>
                <w:rFonts w:hint="eastAsia"/>
              </w:rPr>
              <w:t>FSMS:5</w:t>
            </w:r>
            <w:r>
              <w:t>.3/</w:t>
            </w:r>
            <w:r>
              <w:rPr>
                <w:rFonts w:hint="eastAsia"/>
              </w:rPr>
              <w:t>7.1.5/</w:t>
            </w:r>
            <w:r>
              <w:t>8.1/8.2/</w:t>
            </w:r>
            <w:r>
              <w:rPr>
                <w:rFonts w:hint="eastAsia"/>
                <w:lang w:val="en-US" w:eastAsia="zh-CN"/>
              </w:rPr>
              <w:t>8.3/</w:t>
            </w:r>
            <w:r>
              <w:t>8.4/8.5/8.</w:t>
            </w:r>
            <w:r>
              <w:rPr>
                <w:rFonts w:hint="eastAsia"/>
                <w:lang w:val="en-US" w:eastAsia="zh-CN"/>
              </w:rPr>
              <w:t>6</w:t>
            </w:r>
            <w:r>
              <w:t>/8.8</w:t>
            </w:r>
            <w:r>
              <w:rPr>
                <w:rFonts w:hint="eastAsia"/>
              </w:rPr>
              <w:t>/</w:t>
            </w:r>
            <w:r>
              <w:rPr>
                <w:rFonts w:hint="eastAsia"/>
                <w:lang w:val="en-US" w:eastAsia="zh-CN"/>
              </w:rPr>
              <w:t>8.9.5/</w:t>
            </w:r>
            <w:r>
              <w:rPr>
                <w:rFonts w:hint="eastAsia"/>
                <w:sz w:val="21"/>
                <w:szCs w:val="21"/>
                <w:lang w:val="en-US" w:eastAsia="zh-CN"/>
              </w:rPr>
              <w:t>10.3</w:t>
            </w:r>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128" w:type="dxa"/>
            <w:gridSpan w:val="2"/>
            <w:vMerge w:val="restart"/>
          </w:tcPr>
          <w:p>
            <w:r>
              <w:rPr>
                <w:rFonts w:hint="eastAsia"/>
              </w:rPr>
              <w:t>组织的角色、职责和权限</w:t>
            </w:r>
          </w:p>
        </w:tc>
        <w:tc>
          <w:tcPr>
            <w:tcW w:w="994" w:type="dxa"/>
            <w:vMerge w:val="restart"/>
          </w:tcPr>
          <w:p>
            <w:r>
              <w:rPr>
                <w:rFonts w:hint="eastAsia"/>
              </w:rPr>
              <w:t>F5.3</w:t>
            </w:r>
          </w:p>
          <w:p/>
        </w:tc>
        <w:tc>
          <w:tcPr>
            <w:tcW w:w="745" w:type="dxa"/>
            <w:gridSpan w:val="2"/>
          </w:tcPr>
          <w:p>
            <w:r>
              <w:rPr>
                <w:rFonts w:hint="eastAsia"/>
              </w:rPr>
              <w:t>文件名称</w:t>
            </w:r>
          </w:p>
        </w:tc>
        <w:tc>
          <w:tcPr>
            <w:tcW w:w="9277" w:type="dxa"/>
            <w:gridSpan w:val="2"/>
          </w:tcPr>
          <w:p>
            <w:r>
              <w:rPr>
                <w:rFonts w:hint="eastAsia"/>
              </w:rPr>
              <w:t>如：管理手册第5.3章</w:t>
            </w:r>
          </w:p>
        </w:tc>
        <w:tc>
          <w:tcPr>
            <w:tcW w:w="1568"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0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77" w:type="dxa"/>
            <w:gridSpan w:val="2"/>
          </w:tcPr>
          <w:p>
            <w:pPr>
              <w:rPr>
                <w:highlight w:val="none"/>
              </w:rPr>
            </w:pPr>
            <w:r>
              <w:rPr>
                <w:rFonts w:hint="eastAsia"/>
              </w:rPr>
              <w:t>有食品安全小组</w:t>
            </w:r>
            <w:r>
              <w:rPr>
                <w:rFonts w:hint="eastAsia"/>
                <w:highlight w:val="none"/>
              </w:rPr>
              <w:t>名单，包括了</w:t>
            </w:r>
            <w:r>
              <w:rPr>
                <w:rFonts w:hint="eastAsia"/>
                <w:highlight w:val="none"/>
                <w:u w:val="single"/>
                <w:lang w:val="en-US" w:eastAsia="zh-CN"/>
              </w:rPr>
              <w:t xml:space="preserve">生产部、质量管理部、管理部、供应部、销售部 </w:t>
            </w:r>
            <w:r>
              <w:rPr>
                <w:rFonts w:hint="eastAsia"/>
                <w:highlight w:val="none"/>
              </w:rPr>
              <w:t>的人员</w:t>
            </w:r>
          </w:p>
          <w:p>
            <w:r>
              <w:rPr>
                <w:rFonts w:hint="eastAsia"/>
                <w:highlight w:val="none"/>
              </w:rPr>
              <w:t>公司在手册和《岗位职责</w:t>
            </w:r>
            <w:r>
              <w:rPr>
                <w:rFonts w:hint="eastAsia"/>
              </w:rPr>
              <w:t>》中对食品安全小组的职责进行了规定，主要负责做好食品安全策划、危害分析预备工作、危害分析、确定控制措施（包括H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lang w:val="en-US" w:eastAsia="zh-CN"/>
              </w:rPr>
              <w:t xml:space="preserve"> </w:t>
            </w:r>
            <w:r>
              <w:rPr>
                <w:rFonts w:hint="eastAsia"/>
                <w:u w:val="single"/>
                <w:lang w:val="en-US" w:eastAsia="zh-CN"/>
              </w:rPr>
              <w:t>谢迪 、徐仕杰</w:t>
            </w:r>
            <w:r>
              <w:rPr>
                <w:rFonts w:hint="eastAsia"/>
                <w:lang w:val="en-US" w:eastAsia="zh-CN"/>
              </w:rPr>
              <w:t xml:space="preserve"> </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食品安全小组</w:t>
            </w:r>
            <w:r>
              <w:rPr>
                <w:rFonts w:hint="eastAsia"/>
              </w:rPr>
              <w:t>小组长：</w:t>
            </w:r>
            <w:r>
              <w:rPr>
                <w:rFonts w:hint="eastAsia"/>
                <w:u w:val="single"/>
              </w:rPr>
              <w:t xml:space="preserve"> </w:t>
            </w:r>
            <w:r>
              <w:rPr>
                <w:rFonts w:hint="eastAsia"/>
                <w:u w:val="single"/>
                <w:lang w:val="en-US" w:eastAsia="zh-CN"/>
              </w:rPr>
              <w:t>张宗现先生</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443" w:hRule="atLeast"/>
        </w:trPr>
        <w:tc>
          <w:tcPr>
            <w:tcW w:w="2128" w:type="dxa"/>
            <w:gridSpan w:val="2"/>
            <w:vMerge w:val="restart"/>
            <w:shd w:val="clear" w:color="auto" w:fill="auto"/>
          </w:tcPr>
          <w:p>
            <w:r>
              <w:t>食品安全管理体系外部建立的要素</w:t>
            </w:r>
          </w:p>
        </w:tc>
        <w:tc>
          <w:tcPr>
            <w:tcW w:w="994" w:type="dxa"/>
            <w:vMerge w:val="restart"/>
            <w:shd w:val="clear" w:color="auto" w:fill="auto"/>
          </w:tcPr>
          <w:p>
            <w:r>
              <w:rPr>
                <w:rFonts w:hint="eastAsia"/>
                <w:color w:val="000000"/>
                <w:szCs w:val="21"/>
              </w:rPr>
              <w:t>F7.1.5 </w:t>
            </w:r>
          </w:p>
        </w:tc>
        <w:tc>
          <w:tcPr>
            <w:tcW w:w="745" w:type="dxa"/>
            <w:gridSpan w:val="2"/>
            <w:shd w:val="clear" w:color="auto" w:fill="auto"/>
          </w:tcPr>
          <w:p>
            <w:r>
              <w:rPr>
                <w:rFonts w:hint="eastAsia"/>
              </w:rPr>
              <w:t>文件名称</w:t>
            </w:r>
          </w:p>
        </w:tc>
        <w:tc>
          <w:tcPr>
            <w:tcW w:w="9277"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rFonts w:hint="eastAsia"/>
              </w:rPr>
              <w:t>第</w:t>
            </w:r>
            <w:r>
              <w:rPr>
                <w:rFonts w:hint="eastAsia"/>
                <w:color w:val="000000"/>
                <w:szCs w:val="21"/>
              </w:rPr>
              <w:t>7.1.</w:t>
            </w:r>
            <w:r>
              <w:rPr>
                <w:rFonts w:hint="eastAsia"/>
                <w:color w:val="000000"/>
                <w:szCs w:val="21"/>
                <w:lang w:val="en-US" w:eastAsia="zh-CN"/>
              </w:rPr>
              <w:t>7</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68"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77" w:type="dxa"/>
            <w:gridSpan w:val="2"/>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28" w:type="dxa"/>
            <w:gridSpan w:val="2"/>
            <w:vMerge w:val="restart"/>
            <w:shd w:val="clear" w:color="auto" w:fill="auto"/>
          </w:tcPr>
          <w:p>
            <w:r>
              <w:rPr>
                <w:rFonts w:hint="eastAsia"/>
              </w:rPr>
              <w:t>运行策划和控制</w:t>
            </w:r>
          </w:p>
        </w:tc>
        <w:tc>
          <w:tcPr>
            <w:tcW w:w="994" w:type="dxa"/>
            <w:vMerge w:val="restart"/>
            <w:shd w:val="clear" w:color="auto" w:fill="auto"/>
          </w:tcPr>
          <w:p>
            <w:r>
              <w:rPr>
                <w:rFonts w:hint="eastAsia"/>
              </w:rPr>
              <w:t>F8.1</w:t>
            </w:r>
          </w:p>
          <w:p/>
        </w:tc>
        <w:tc>
          <w:tcPr>
            <w:tcW w:w="745" w:type="dxa"/>
            <w:gridSpan w:val="2"/>
            <w:shd w:val="clear" w:color="auto" w:fill="auto"/>
          </w:tcPr>
          <w:p>
            <w:r>
              <w:rPr>
                <w:rFonts w:hint="eastAsia"/>
              </w:rPr>
              <w:t>文件名称</w:t>
            </w:r>
          </w:p>
        </w:tc>
        <w:tc>
          <w:tcPr>
            <w:tcW w:w="9277"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rFonts w:hint="eastAsia"/>
              </w:rPr>
              <w:t>8.1条款；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w:t>
            </w:r>
          </w:p>
        </w:tc>
        <w:tc>
          <w:tcPr>
            <w:tcW w:w="1568"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874"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77" w:type="dxa"/>
            <w:gridSpan w:val="2"/>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r>
              <w:rPr>
                <w:rFonts w:hint="eastAsia"/>
              </w:rPr>
              <w:t xml:space="preserve">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pPr>
              <w:rPr>
                <w:highlight w:val="none"/>
              </w:rPr>
            </w:pPr>
            <w:r>
              <w:rPr>
                <w:rFonts w:hint="eastAsia"/>
              </w:rPr>
              <w:t>组织的外包过程：</w:t>
            </w:r>
            <w:r>
              <w:rPr>
                <w:rFonts w:hint="eastAsia"/>
                <w:u w:val="single"/>
              </w:rPr>
              <w:t xml:space="preserve">  </w:t>
            </w:r>
            <w:r>
              <w:rPr>
                <w:rFonts w:hint="eastAsia"/>
                <w:highlight w:val="none"/>
                <w:u w:val="single"/>
              </w:rPr>
              <w:t xml:space="preserve"> 物流运输、计量设备检定、产品第三方检验           </w:t>
            </w:r>
            <w:r>
              <w:rPr>
                <w:rFonts w:hint="eastAsia"/>
                <w:highlight w:val="none"/>
              </w:rPr>
              <w:t>。</w:t>
            </w:r>
          </w:p>
          <w:p>
            <w:r>
              <w:rPr>
                <w:rFonts w:hint="eastAsia"/>
                <w:highlight w:val="none"/>
              </w:rPr>
              <w:t>外包过程的控制（见7.1.6）</w:t>
            </w:r>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28" w:type="dxa"/>
            <w:gridSpan w:val="2"/>
            <w:vMerge w:val="restart"/>
          </w:tcPr>
          <w:p>
            <w:r>
              <w:rPr>
                <w:rFonts w:hint="eastAsia"/>
              </w:rPr>
              <w:t>前提方案（PRP）</w:t>
            </w:r>
          </w:p>
        </w:tc>
        <w:tc>
          <w:tcPr>
            <w:tcW w:w="994" w:type="dxa"/>
            <w:vMerge w:val="restart"/>
          </w:tcPr>
          <w:p>
            <w:r>
              <w:rPr>
                <w:rFonts w:hint="eastAsia"/>
              </w:rPr>
              <w:t>F8.2</w:t>
            </w:r>
          </w:p>
        </w:tc>
        <w:tc>
          <w:tcPr>
            <w:tcW w:w="745" w:type="dxa"/>
            <w:gridSpan w:val="2"/>
          </w:tcPr>
          <w:p>
            <w:r>
              <w:rPr>
                <w:rFonts w:hint="eastAsia"/>
              </w:rPr>
              <w:t>文件名称</w:t>
            </w:r>
          </w:p>
        </w:tc>
        <w:tc>
          <w:tcPr>
            <w:tcW w:w="9277" w:type="dxa"/>
            <w:gridSpan w:val="2"/>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rFonts w:hint="eastAsia"/>
              </w:rPr>
              <w:t>8.1</w:t>
            </w:r>
            <w:r>
              <w:rPr>
                <w:rFonts w:hint="eastAsia"/>
                <w:lang w:val="en-US" w:eastAsia="zh-CN"/>
              </w:rPr>
              <w:t>.2</w:t>
            </w:r>
            <w:r>
              <w:rPr>
                <w:rFonts w:hint="eastAsia"/>
              </w:rPr>
              <w:t>条款</w:t>
            </w:r>
          </w:p>
        </w:tc>
        <w:tc>
          <w:tcPr>
            <w:tcW w:w="1568"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9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77" w:type="dxa"/>
            <w:gridSpan w:val="2"/>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lang w:val="en-US" w:eastAsia="zh-CN"/>
              </w:rPr>
              <w:t xml:space="preserve">  </w:t>
            </w:r>
            <w:r>
              <w:rPr>
                <w:rFonts w:hint="eastAsia"/>
                <w:color w:val="000000"/>
                <w:sz w:val="21"/>
                <w:szCs w:val="21"/>
                <w:u w:val="single"/>
              </w:rPr>
              <w:t>GB/T 34267-2017 食用淀粉及淀粉制品生产管理规范</w:t>
            </w:r>
            <w:r>
              <w:rPr>
                <w:rFonts w:hint="eastAsia"/>
                <w:color w:val="000000"/>
                <w:sz w:val="21"/>
                <w:szCs w:val="21"/>
                <w:u w:val="single"/>
                <w:lang w:val="en-US" w:eastAsia="zh-CN"/>
              </w:rPr>
              <w:t xml:space="preserve"> 、</w:t>
            </w:r>
            <w:r>
              <w:rPr>
                <w:rFonts w:hint="eastAsia"/>
                <w:color w:val="000000"/>
                <w:sz w:val="21"/>
                <w:szCs w:val="21"/>
                <w:u w:val="single"/>
              </w:rPr>
              <w:t xml:space="preserve">GB 14881-2013 食品安全国家标准 食品生产通用卫生规范 </w:t>
            </w:r>
            <w:r>
              <w:rPr>
                <w:rFonts w:hint="eastAsia"/>
                <w:u w:val="single"/>
                <w:lang w:val="en-US" w:eastAsia="zh-CN"/>
              </w:rPr>
              <w:t xml:space="preserve">       </w:t>
            </w:r>
            <w:r>
              <w:rPr>
                <w:rFonts w:hint="eastAsia"/>
                <w:szCs w:val="21"/>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rPr>
                <w:highlight w:val="yellow"/>
              </w:rPr>
            </w:pPr>
          </w:p>
          <w:p>
            <w:pPr>
              <w:rPr>
                <w:highlight w:val="none"/>
                <w:u w:val="single"/>
              </w:rPr>
            </w:pPr>
            <w:r>
              <w:rPr>
                <w:rFonts w:hint="eastAsia"/>
                <w:highlight w:val="none"/>
              </w:rPr>
              <w:t>《前提方案》的内容包括：</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rPr>
                <w:highlight w:val="none"/>
              </w:rPr>
            </w:pPr>
            <w:r>
              <w:rPr>
                <w:highlight w:val="none"/>
              </w:rPr>
              <w:t>规定PRP的选择、建立、适用的监测和验证的文件化信息。</w:t>
            </w:r>
            <w:r>
              <w:rPr>
                <w:rFonts w:hint="eastAsia"/>
                <w:highlight w:val="none"/>
              </w:rPr>
              <w:t xml:space="preserve">       </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w:t>
            </w:r>
            <w:r>
              <w:rPr>
                <w:rFonts w:hint="eastAsia"/>
                <w:u w:val="single"/>
                <w:lang w:val="en-US" w:eastAsia="zh-CN"/>
              </w:rPr>
              <w:t>1</w:t>
            </w:r>
            <w:r>
              <w:rPr>
                <w:rFonts w:hint="eastAsia"/>
                <w:u w:val="single"/>
              </w:rPr>
              <w:t>年</w:t>
            </w:r>
            <w:r>
              <w:rPr>
                <w:rFonts w:hint="eastAsia"/>
                <w:u w:val="single"/>
                <w:lang w:val="en-US" w:eastAsia="zh-CN"/>
              </w:rPr>
              <w:t>11</w:t>
            </w:r>
            <w:r>
              <w:rPr>
                <w:rFonts w:hint="eastAsia"/>
                <w:u w:val="single"/>
              </w:rPr>
              <w:t xml:space="preserve"> 月 1</w:t>
            </w:r>
            <w:r>
              <w:rPr>
                <w:rFonts w:hint="eastAsia"/>
                <w:u w:val="single"/>
                <w:lang w:val="en-US" w:eastAsia="zh-CN"/>
              </w:rPr>
              <w:t>0</w:t>
            </w:r>
            <w:r>
              <w:rPr>
                <w:rFonts w:hint="eastAsia"/>
                <w:u w:val="single"/>
              </w:rPr>
              <w:t xml:space="preserve">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rPr>
                <w:rFonts w:hint="default" w:eastAsia="宋体"/>
                <w:u w:val="single"/>
                <w:lang w:val="en-US" w:eastAsia="zh-CN"/>
              </w:rPr>
            </w:pPr>
            <w:r>
              <w:rPr>
                <w:rFonts w:hint="eastAsia"/>
              </w:rPr>
              <w:sym w:font="Wingdings" w:char="00FE"/>
            </w:r>
            <w:r>
              <w:rPr>
                <w:rFonts w:hint="eastAsia"/>
              </w:rPr>
              <w:t>顾客要求</w:t>
            </w:r>
            <w:r>
              <w:rPr>
                <w:rFonts w:hint="eastAsia"/>
                <w:lang w:eastAsia="zh-CN"/>
              </w:rPr>
              <w:t>：</w:t>
            </w:r>
            <w:r>
              <w:rPr>
                <w:rFonts w:hint="eastAsia"/>
                <w:u w:val="single"/>
                <w:lang w:val="en-US" w:eastAsia="zh-CN"/>
              </w:rPr>
              <w:t>无特殊食品安全要求</w:t>
            </w:r>
          </w:p>
          <w:p>
            <w:r>
              <w:t>3）适用法典和指南。</w:t>
            </w:r>
          </w:p>
          <w:p>
            <w:pPr>
              <w:rPr>
                <w:highlight w:val="cyan"/>
              </w:rPr>
            </w:pPr>
            <w:r>
              <w:rPr>
                <w:rFonts w:hint="eastAsia"/>
              </w:rPr>
              <w:t xml:space="preserve"> </w:t>
            </w:r>
            <w:r>
              <w:t xml:space="preserve"> </w:t>
            </w:r>
            <w:r>
              <w:rPr>
                <w:rFonts w:hint="eastAsia"/>
              </w:rPr>
              <w:t>无</w:t>
            </w:r>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23" w:type="dxa"/>
            <w:vMerge w:val="restart"/>
            <w:noWrap w:val="0"/>
            <w:vAlign w:val="top"/>
          </w:tcPr>
          <w:p>
            <w:r>
              <w:t>标识和可追溯性</w:t>
            </w:r>
          </w:p>
        </w:tc>
        <w:tc>
          <w:tcPr>
            <w:tcW w:w="996" w:type="dxa"/>
            <w:gridSpan w:val="2"/>
            <w:vMerge w:val="restart"/>
            <w:noWrap w:val="0"/>
            <w:vAlign w:val="top"/>
          </w:tcPr>
          <w:p>
            <w:r>
              <w:t>F8.3</w:t>
            </w:r>
          </w:p>
          <w:p>
            <w:pPr>
              <w:pStyle w:val="3"/>
              <w:rPr>
                <w:rFonts w:hint="default"/>
                <w:lang w:val="en-US" w:eastAsia="zh-CN"/>
              </w:rPr>
            </w:pPr>
          </w:p>
        </w:tc>
        <w:tc>
          <w:tcPr>
            <w:tcW w:w="745" w:type="dxa"/>
            <w:gridSpan w:val="2"/>
            <w:noWrap w:val="0"/>
            <w:vAlign w:val="top"/>
          </w:tcPr>
          <w:p>
            <w:r>
              <w:t>文件名称</w:t>
            </w:r>
          </w:p>
        </w:tc>
        <w:tc>
          <w:tcPr>
            <w:tcW w:w="9275" w:type="dxa"/>
            <w:noWrap w:val="0"/>
            <w:vAlign w:val="top"/>
          </w:tcPr>
          <w:p>
            <w:pPr>
              <w:rPr>
                <w:rFonts w:hint="eastAsia" w:eastAsia="宋体"/>
                <w:lang w:eastAsia="zh-CN"/>
              </w:rPr>
            </w:pPr>
            <w:r>
              <w:rPr>
                <w:highlight w:val="none"/>
              </w:rPr>
              <w:t>如：</w:t>
            </w:r>
            <w:r>
              <w:rPr>
                <w:highlight w:val="none"/>
              </w:rPr>
              <w:fldChar w:fldCharType="begin"/>
            </w:r>
            <w:r>
              <w:rPr>
                <w:highlight w:val="none"/>
              </w:rPr>
              <w:instrText xml:space="preserve"> eq \o\ac(□,√)</w:instrText>
            </w:r>
            <w:r>
              <w:rPr>
                <w:highlight w:val="none"/>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highlight w:val="none"/>
              </w:rPr>
              <w:t>8.</w:t>
            </w:r>
            <w:r>
              <w:rPr>
                <w:rFonts w:hint="eastAsia"/>
                <w:highlight w:val="none"/>
                <w:lang w:val="en-US" w:eastAsia="zh-CN"/>
              </w:rPr>
              <w:t>5.2</w:t>
            </w:r>
            <w:r>
              <w:rPr>
                <w:highlight w:val="none"/>
              </w:rPr>
              <w:t>条款、</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w:t>
            </w:r>
            <w:r>
              <w:rPr>
                <w:rFonts w:hint="eastAsia"/>
                <w:highlight w:val="none"/>
              </w:rPr>
              <w:t>产品标识和可追溯性控制程序</w:t>
            </w:r>
            <w:r>
              <w:rPr>
                <w:szCs w:val="16"/>
                <w:highlight w:val="none"/>
              </w:rPr>
              <w:t>》</w:t>
            </w:r>
            <w:r>
              <w:rPr>
                <w:highlight w:val="none"/>
              </w:rPr>
              <w:t>、</w:t>
            </w:r>
            <w:r>
              <w:rPr>
                <w:highlight w:val="none"/>
              </w:rPr>
              <w:fldChar w:fldCharType="begin"/>
            </w:r>
            <w:r>
              <w:rPr>
                <w:highlight w:val="none"/>
              </w:rPr>
              <w:instrText xml:space="preserve"> eq \o\ac(□,√)</w:instrText>
            </w:r>
            <w:r>
              <w:rPr>
                <w:highlight w:val="none"/>
              </w:rPr>
              <w:fldChar w:fldCharType="end"/>
            </w:r>
            <w:r>
              <w:rPr>
                <w:highlight w:val="none"/>
              </w:rPr>
              <w:t>《前提方案》</w:t>
            </w:r>
            <w:r>
              <w:rPr>
                <w:rFonts w:hint="eastAsia"/>
                <w:highlight w:val="none"/>
                <w:lang w:eastAsia="zh-CN"/>
              </w:rPr>
              <w:t>、</w:t>
            </w:r>
            <w:r>
              <w:rPr>
                <w:highlight w:val="none"/>
              </w:rPr>
              <w:fldChar w:fldCharType="begin"/>
            </w:r>
            <w:r>
              <w:rPr>
                <w:highlight w:val="none"/>
              </w:rPr>
              <w:instrText xml:space="preserve"> eq \o\ac(□,√)</w:instrText>
            </w:r>
            <w:r>
              <w:rPr>
                <w:highlight w:val="none"/>
              </w:rPr>
              <w:fldChar w:fldCharType="end"/>
            </w:r>
            <w:r>
              <w:rPr>
                <w:rFonts w:hint="eastAsia"/>
                <w:highlight w:val="none"/>
                <w:lang w:eastAsia="zh-CN"/>
              </w:rPr>
              <w:t>《不安全产品召回控制程序》、</w:t>
            </w:r>
            <w:r>
              <w:rPr>
                <w:rFonts w:hint="eastAsia"/>
              </w:rPr>
              <w:sym w:font="Wingdings" w:char="00FE"/>
            </w:r>
            <w:r>
              <w:rPr>
                <w:rFonts w:hint="eastAsia"/>
              </w:rPr>
              <w:t>《</w:t>
            </w:r>
            <w:r>
              <w:rPr>
                <w:rFonts w:hint="eastAsia"/>
                <w:lang w:val="en-US" w:eastAsia="zh-CN"/>
              </w:rPr>
              <w:t>留样管理规定</w:t>
            </w:r>
            <w:r>
              <w:rPr>
                <w:rFonts w:hint="eastAsia"/>
              </w:rPr>
              <w:t>》</w:t>
            </w:r>
          </w:p>
        </w:tc>
        <w:tc>
          <w:tcPr>
            <w:tcW w:w="1568" w:type="dxa"/>
            <w:vMerge w:val="restart"/>
            <w:noWrap w:val="0"/>
            <w:vAlign w:val="top"/>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358" w:hRule="atLeast"/>
        </w:trPr>
        <w:tc>
          <w:tcPr>
            <w:tcW w:w="2123" w:type="dxa"/>
            <w:vMerge w:val="continue"/>
            <w:noWrap w:val="0"/>
            <w:vAlign w:val="top"/>
          </w:tcPr>
          <w:p/>
        </w:tc>
        <w:tc>
          <w:tcPr>
            <w:tcW w:w="996" w:type="dxa"/>
            <w:gridSpan w:val="2"/>
            <w:vMerge w:val="continue"/>
            <w:noWrap w:val="0"/>
            <w:vAlign w:val="top"/>
          </w:tcPr>
          <w:p/>
        </w:tc>
        <w:tc>
          <w:tcPr>
            <w:tcW w:w="745" w:type="dxa"/>
            <w:gridSpan w:val="2"/>
            <w:noWrap w:val="0"/>
            <w:vAlign w:val="top"/>
          </w:tcPr>
          <w:p>
            <w:r>
              <w:t>运行证据</w:t>
            </w:r>
          </w:p>
        </w:tc>
        <w:tc>
          <w:tcPr>
            <w:tcW w:w="9275" w:type="dxa"/>
            <w:noWrap w:val="0"/>
            <w:vAlign w:val="top"/>
          </w:tcPr>
          <w:p>
            <w:r>
              <w:t>产品的检验状态标识：</w:t>
            </w:r>
            <w:r>
              <w:rPr/>
              <w:sym w:font="Wingdings" w:char="00FE"/>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FE"/>
            </w:r>
            <w:r>
              <w:t>材料/产品的返工；</w:t>
            </w:r>
          </w:p>
          <w:p>
            <w:r>
              <w:t xml:space="preserve"> </w:t>
            </w:r>
            <w:r>
              <w:rPr/>
              <w:sym w:font="Wingdings" w:char="00FE"/>
            </w:r>
            <w:r>
              <w:t>最终产品的分销。</w:t>
            </w:r>
          </w:p>
          <w:p>
            <w:pPr>
              <w:pStyle w:val="3"/>
              <w:ind w:left="0" w:leftChars="0" w:firstLine="0" w:firstLineChars="0"/>
            </w:pPr>
          </w:p>
          <w:p>
            <w:r>
              <w:t>原材料的唯一性标识方式：</w:t>
            </w:r>
          </w:p>
          <w:p>
            <w:pPr>
              <w:rPr>
                <w:rFonts w:hint="eastAsia"/>
                <w:lang w:val="en-US" w:eastAsia="zh-CN"/>
              </w:rPr>
            </w:pPr>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lang w:val="en-US" w:eastAsia="zh-CN"/>
              </w:rPr>
              <w:t xml:space="preserve">  </w:t>
            </w:r>
            <w:r>
              <w:rPr/>
              <w:sym w:font="Wingdings" w:char="00A8"/>
            </w:r>
            <w:r>
              <w:t>其他</w:t>
            </w:r>
          </w:p>
          <w:p>
            <w:pPr>
              <w:pStyle w:val="3"/>
            </w:pPr>
          </w:p>
          <w:p>
            <w:r>
              <w:t xml:space="preserve">半成品的唯一性标识方式： </w:t>
            </w:r>
          </w:p>
          <w:p>
            <w:pPr>
              <w:rPr>
                <w:highlight w:val="yellow"/>
              </w:rPr>
            </w:pPr>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 xml:space="preserve">成品的唯一性标识方式： </w:t>
            </w:r>
          </w:p>
          <w:p>
            <w:pPr>
              <w:rPr>
                <w:rFonts w:hint="eastAsia"/>
              </w:rPr>
            </w:pPr>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rPr>
                <w:rFonts w:hint="eastAsia"/>
                <w:lang w:eastAsia="zh-CN"/>
              </w:rPr>
            </w:pPr>
            <w:r>
              <w:rPr>
                <w:rFonts w:hint="eastAsia"/>
              </w:rPr>
              <w:t>组织于</w:t>
            </w:r>
            <w:r>
              <w:rPr>
                <w:rFonts w:hint="eastAsia"/>
                <w:u w:val="single"/>
              </w:rPr>
              <w:t xml:space="preserve">  202</w:t>
            </w:r>
            <w:r>
              <w:rPr>
                <w:rFonts w:hint="eastAsia"/>
                <w:u w:val="single"/>
                <w:lang w:val="en-US" w:eastAsia="zh-CN"/>
              </w:rPr>
              <w:t>2</w:t>
            </w:r>
            <w:r>
              <w:rPr>
                <w:rFonts w:hint="eastAsia"/>
                <w:u w:val="single"/>
              </w:rPr>
              <w:t xml:space="preserve"> 年 </w:t>
            </w:r>
            <w:r>
              <w:rPr>
                <w:rFonts w:hint="eastAsia"/>
                <w:u w:val="single"/>
                <w:lang w:val="en-US" w:eastAsia="zh-CN"/>
              </w:rPr>
              <w:t>3</w:t>
            </w:r>
            <w:r>
              <w:rPr>
                <w:rFonts w:hint="eastAsia"/>
                <w:u w:val="single"/>
              </w:rPr>
              <w:t xml:space="preserve">月  </w:t>
            </w:r>
            <w:r>
              <w:rPr>
                <w:rFonts w:hint="eastAsia"/>
                <w:u w:val="single"/>
                <w:lang w:val="en-US" w:eastAsia="zh-CN"/>
              </w:rPr>
              <w:t>9</w:t>
            </w:r>
            <w:r>
              <w:rPr>
                <w:rFonts w:hint="eastAsia"/>
                <w:u w:val="single"/>
              </w:rPr>
              <w:t xml:space="preserve"> 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68"/>
              <w:gridCol w:w="1779"/>
              <w:gridCol w:w="1145"/>
              <w:gridCol w:w="96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rPr>
                    <w:t>产品批号</w:t>
                  </w:r>
                </w:p>
              </w:tc>
              <w:tc>
                <w:tcPr>
                  <w:tcW w:w="1968" w:type="dxa"/>
                </w:tcPr>
                <w:p>
                  <w:r>
                    <w:rPr>
                      <w:rFonts w:hint="eastAsia"/>
                    </w:rPr>
                    <w:t>不合格简述</w:t>
                  </w:r>
                </w:p>
              </w:tc>
              <w:tc>
                <w:tcPr>
                  <w:tcW w:w="1779" w:type="dxa"/>
                </w:tcPr>
                <w:p>
                  <w:r>
                    <w:t>生产记录</w:t>
                  </w:r>
                  <w:r>
                    <w:rPr>
                      <w:rFonts w:hint="eastAsia"/>
                    </w:rPr>
                    <w:t>情况</w:t>
                  </w:r>
                </w:p>
              </w:tc>
              <w:tc>
                <w:tcPr>
                  <w:tcW w:w="1145" w:type="dxa"/>
                </w:tcPr>
                <w:p>
                  <w:r>
                    <w:t>检验记录</w:t>
                  </w:r>
                  <w:r>
                    <w:rPr>
                      <w:rFonts w:hint="eastAsia"/>
                    </w:rPr>
                    <w:t>情况</w:t>
                  </w:r>
                </w:p>
              </w:tc>
              <w:tc>
                <w:tcPr>
                  <w:tcW w:w="964" w:type="dxa"/>
                </w:tcPr>
                <w:p>
                  <w:r>
                    <w:t>采购记录</w:t>
                  </w:r>
                  <w:r>
                    <w:rPr>
                      <w:rFonts w:hint="eastAsia"/>
                    </w:rPr>
                    <w:t>情况</w:t>
                  </w:r>
                </w:p>
              </w:tc>
              <w:tc>
                <w:tcPr>
                  <w:tcW w:w="850" w:type="dxa"/>
                </w:tcPr>
                <w:p>
                  <w:r>
                    <w:t>产品留样</w:t>
                  </w:r>
                  <w:r>
                    <w:rPr>
                      <w:rFonts w:hint="eastAsia"/>
                    </w:rPr>
                    <w:t>确认</w:t>
                  </w:r>
                </w:p>
              </w:tc>
              <w:tc>
                <w:tcPr>
                  <w:tcW w:w="1579"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default"/>
                      <w:lang w:val="en-US" w:eastAsia="zh-CN"/>
                    </w:rPr>
                  </w:pPr>
                  <w:r>
                    <w:rPr>
                      <w:rFonts w:hint="eastAsia" w:ascii="宋体" w:hAnsi="宋体"/>
                      <w:lang w:eastAsia="zh-CN"/>
                    </w:rPr>
                    <w:t>20220223</w:t>
                  </w:r>
                </w:p>
              </w:tc>
              <w:tc>
                <w:tcPr>
                  <w:tcW w:w="1968" w:type="dxa"/>
                </w:tcPr>
                <w:p>
                  <w:pPr>
                    <w:rPr>
                      <w:rFonts w:hint="default"/>
                      <w:lang w:val="en-US" w:eastAsia="zh-CN"/>
                    </w:rPr>
                  </w:pPr>
                  <w:r>
                    <w:rPr>
                      <w:rFonts w:hint="eastAsia" w:ascii="宋体" w:hAnsi="宋体"/>
                      <w:lang w:val="en-US" w:eastAsia="zh-CN"/>
                    </w:rPr>
                    <w:t>粉条：</w:t>
                  </w:r>
                  <w:r>
                    <w:rPr>
                      <w:rFonts w:hint="eastAsia" w:ascii="宋体" w:hAnsi="宋体"/>
                      <w:lang w:eastAsia="zh-CN"/>
                    </w:rPr>
                    <w:t>断条现象</w:t>
                  </w:r>
                </w:p>
              </w:tc>
              <w:tc>
                <w:tcPr>
                  <w:tcW w:w="1779" w:type="dxa"/>
                </w:tcPr>
                <w:p>
                  <w:pPr>
                    <w:rPr>
                      <w:rFonts w:hint="default"/>
                      <w:lang w:val="en-US" w:eastAsia="zh-CN"/>
                    </w:rPr>
                  </w:pPr>
                  <w:r>
                    <w:rPr>
                      <w:lang w:eastAsia="zh-CN"/>
                    </w:rPr>
                    <w:t>20</w:t>
                  </w:r>
                  <w:r>
                    <w:rPr>
                      <w:rFonts w:hint="eastAsia"/>
                      <w:lang w:eastAsia="zh-CN"/>
                    </w:rPr>
                    <w:t>220223</w:t>
                  </w:r>
                </w:p>
              </w:tc>
              <w:tc>
                <w:tcPr>
                  <w:tcW w:w="1145" w:type="dxa"/>
                </w:tcPr>
                <w:p>
                  <w:pPr>
                    <w:rPr>
                      <w:rFonts w:hint="default"/>
                      <w:lang w:val="en-US" w:eastAsia="zh-CN"/>
                    </w:rPr>
                  </w:pPr>
                  <w:r>
                    <w:rPr>
                      <w:lang w:eastAsia="zh-CN"/>
                    </w:rPr>
                    <w:t>20</w:t>
                  </w:r>
                  <w:r>
                    <w:rPr>
                      <w:rFonts w:hint="eastAsia"/>
                      <w:lang w:eastAsia="zh-CN"/>
                    </w:rPr>
                    <w:t>220223</w:t>
                  </w:r>
                </w:p>
              </w:tc>
              <w:tc>
                <w:tcPr>
                  <w:tcW w:w="964" w:type="dxa"/>
                </w:tcPr>
                <w:p>
                  <w:pPr>
                    <w:rPr>
                      <w:rFonts w:hint="default"/>
                      <w:lang w:val="en-US" w:eastAsia="zh-CN"/>
                    </w:rPr>
                  </w:pPr>
                  <w:r>
                    <w:rPr>
                      <w:rFonts w:hint="eastAsia" w:ascii="宋体" w:hAnsi="宋体"/>
                      <w:lang w:eastAsia="zh-CN"/>
                    </w:rPr>
                    <w:t>20210925</w:t>
                  </w:r>
                </w:p>
              </w:tc>
              <w:tc>
                <w:tcPr>
                  <w:tcW w:w="850" w:type="dxa"/>
                </w:tcPr>
                <w:p>
                  <w:pPr>
                    <w:rPr>
                      <w:rFonts w:hint="default"/>
                      <w:lang w:val="en-US" w:eastAsia="zh-CN"/>
                    </w:rPr>
                  </w:pPr>
                  <w:r>
                    <w:rPr>
                      <w:rFonts w:hint="eastAsia"/>
                      <w:lang w:val="en-US" w:eastAsia="zh-CN"/>
                    </w:rPr>
                    <w:t>——</w:t>
                  </w:r>
                </w:p>
              </w:tc>
              <w:tc>
                <w:tcPr>
                  <w:tcW w:w="1579" w:type="dxa"/>
                </w:tcPr>
                <w:p>
                  <w:pPr>
                    <w:rPr>
                      <w:rFonts w:hint="default"/>
                      <w:lang w:val="en-US" w:eastAsia="zh-CN"/>
                    </w:rPr>
                  </w:pPr>
                  <w:r>
                    <w:rPr>
                      <w:rFonts w:hint="eastAsia"/>
                      <w:lang w:eastAsia="zh-CN"/>
                    </w:rPr>
                    <w:t>模拟回收隔离存放，销毁处理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tc>
              <w:tc>
                <w:tcPr>
                  <w:tcW w:w="1968" w:type="dxa"/>
                </w:tcPr>
                <w:p/>
              </w:tc>
              <w:tc>
                <w:tcPr>
                  <w:tcW w:w="1779" w:type="dxa"/>
                </w:tcPr>
                <w:p/>
              </w:tc>
              <w:tc>
                <w:tcPr>
                  <w:tcW w:w="1145" w:type="dxa"/>
                </w:tcPr>
                <w:p/>
              </w:tc>
              <w:tc>
                <w:tcPr>
                  <w:tcW w:w="964" w:type="dxa"/>
                </w:tcPr>
                <w:p/>
              </w:tc>
              <w:tc>
                <w:tcPr>
                  <w:tcW w:w="850" w:type="dxa"/>
                </w:tcPr>
                <w:p/>
              </w:tc>
              <w:tc>
                <w:tcPr>
                  <w:tcW w:w="1579" w:type="dxa"/>
                </w:tcPr>
                <w:p/>
              </w:tc>
            </w:tr>
          </w:tbl>
          <w:p>
            <w:pPr>
              <w:rPr>
                <w:rFonts w:hint="eastAsia"/>
                <w:lang w:val="en-US" w:eastAsia="zh-CN"/>
              </w:rPr>
            </w:pPr>
            <w:r>
              <w:rPr>
                <w:rFonts w:hint="eastAsia"/>
                <w:lang w:val="en-US" w:eastAsia="zh-CN"/>
              </w:rPr>
              <w:t>模拟过程中未进行留样产品的确认，已现场沟通；</w:t>
            </w:r>
          </w:p>
          <w:p>
            <w:pPr>
              <w:pStyle w:val="18"/>
              <w:rPr>
                <w:rFonts w:hint="default"/>
                <w:lang w:val="en-US" w:eastAsia="zh-CN"/>
              </w:rPr>
            </w:pPr>
          </w:p>
          <w:p>
            <w:r>
              <w:rPr>
                <w:rFonts w:hint="eastAsia"/>
              </w:rPr>
              <w:t>可追溯性系统证据的保留期限</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个月，至少包括产品的保质期</w:t>
            </w:r>
            <w:r>
              <w:rPr>
                <w:rFonts w:hint="eastAsia"/>
                <w:lang w:val="en-US" w:eastAsia="zh-CN"/>
              </w:rPr>
              <w:t xml:space="preserve"> </w:t>
            </w:r>
            <w:r>
              <w:rPr>
                <w:rFonts w:hint="eastAsia"/>
                <w:u w:val="single"/>
                <w:lang w:val="en-US" w:eastAsia="zh-CN"/>
              </w:rPr>
              <w:t xml:space="preserve">24 </w:t>
            </w:r>
            <w:r>
              <w:rPr>
                <w:rFonts w:hint="eastAsia"/>
              </w:rPr>
              <w:t>个月。</w:t>
            </w:r>
          </w:p>
          <w:p/>
          <w:p>
            <w:pPr>
              <w:rPr>
                <w:rFonts w:hint="default" w:eastAsia="宋体"/>
                <w:highlight w:val="none"/>
                <w:u w:val="single"/>
                <w:lang w:val="en-US" w:eastAsia="zh-CN"/>
              </w:rPr>
            </w:pPr>
            <w:r>
              <w:rPr>
                <w:highlight w:val="none"/>
              </w:rPr>
              <w:t>产品留样</w:t>
            </w:r>
            <w:r>
              <w:rPr>
                <w:rFonts w:hint="eastAsia"/>
                <w:highlight w:val="none"/>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rPr>
                      <w:highlight w:val="none"/>
                    </w:rPr>
                  </w:pPr>
                  <w:r>
                    <w:rPr>
                      <w:highlight w:val="none"/>
                    </w:rPr>
                    <w:t>产品名称</w:t>
                  </w:r>
                </w:p>
              </w:tc>
              <w:tc>
                <w:tcPr>
                  <w:tcW w:w="1808" w:type="dxa"/>
                  <w:noWrap w:val="0"/>
                  <w:vAlign w:val="top"/>
                </w:tcPr>
                <w:p>
                  <w:pPr>
                    <w:rPr>
                      <w:highlight w:val="none"/>
                    </w:rPr>
                  </w:pPr>
                  <w:r>
                    <w:rPr>
                      <w:highlight w:val="none"/>
                    </w:rPr>
                    <w:t>规格</w:t>
                  </w:r>
                </w:p>
              </w:tc>
              <w:tc>
                <w:tcPr>
                  <w:tcW w:w="1809" w:type="dxa"/>
                  <w:noWrap w:val="0"/>
                  <w:vAlign w:val="top"/>
                </w:tcPr>
                <w:p>
                  <w:pPr>
                    <w:rPr>
                      <w:rFonts w:hint="default" w:eastAsia="宋体"/>
                      <w:highlight w:val="none"/>
                      <w:lang w:val="en-US" w:eastAsia="zh-CN"/>
                    </w:rPr>
                  </w:pPr>
                  <w:r>
                    <w:rPr>
                      <w:highlight w:val="none"/>
                    </w:rPr>
                    <w:t>生产日期</w:t>
                  </w:r>
                  <w:r>
                    <w:rPr>
                      <w:rFonts w:hint="eastAsia"/>
                      <w:highlight w:val="none"/>
                      <w:lang w:val="en-US" w:eastAsia="zh-CN"/>
                    </w:rPr>
                    <w:t>/批号</w:t>
                  </w:r>
                </w:p>
              </w:tc>
              <w:tc>
                <w:tcPr>
                  <w:tcW w:w="1809" w:type="dxa"/>
                  <w:noWrap w:val="0"/>
                  <w:vAlign w:val="top"/>
                </w:tcPr>
                <w:p>
                  <w:pPr>
                    <w:rPr>
                      <w:highlight w:val="none"/>
                    </w:rPr>
                  </w:pPr>
                  <w:r>
                    <w:rPr>
                      <w:highlight w:val="none"/>
                    </w:rPr>
                    <w:t>保存期限</w:t>
                  </w:r>
                </w:p>
              </w:tc>
              <w:tc>
                <w:tcPr>
                  <w:tcW w:w="1809" w:type="dxa"/>
                  <w:noWrap w:val="0"/>
                  <w:vAlign w:val="top"/>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808" w:type="dxa"/>
                  <w:noWrap w:val="0"/>
                  <w:vAlign w:val="top"/>
                </w:tcPr>
                <w:p>
                  <w:pPr>
                    <w:rPr>
                      <w:rFonts w:hint="default" w:eastAsia="宋体"/>
                      <w:highlight w:val="none"/>
                      <w:lang w:val="en-US" w:eastAsia="zh-CN"/>
                    </w:rPr>
                  </w:pPr>
                  <w:r>
                    <w:rPr>
                      <w:rFonts w:hint="eastAsia"/>
                      <w:highlight w:val="none"/>
                      <w:lang w:val="en-US" w:eastAsia="zh-CN"/>
                    </w:rPr>
                    <w:t>粉饼</w:t>
                  </w:r>
                </w:p>
              </w:tc>
              <w:tc>
                <w:tcPr>
                  <w:tcW w:w="1808" w:type="dxa"/>
                  <w:noWrap w:val="0"/>
                  <w:vAlign w:val="top"/>
                </w:tcPr>
                <w:p>
                  <w:pPr>
                    <w:rPr>
                      <w:rFonts w:hint="default" w:eastAsia="宋体"/>
                      <w:highlight w:val="none"/>
                      <w:lang w:val="en-US" w:eastAsia="zh-CN"/>
                    </w:rPr>
                  </w:pPr>
                  <w:r>
                    <w:rPr>
                      <w:rFonts w:hint="eastAsia"/>
                      <w:highlight w:val="none"/>
                      <w:lang w:val="en-US" w:eastAsia="zh-CN"/>
                    </w:rPr>
                    <w:t>1kg</w:t>
                  </w:r>
                </w:p>
              </w:tc>
              <w:tc>
                <w:tcPr>
                  <w:tcW w:w="1809" w:type="dxa"/>
                  <w:noWrap w:val="0"/>
                  <w:vAlign w:val="top"/>
                </w:tcPr>
                <w:p>
                  <w:pPr>
                    <w:rPr>
                      <w:rFonts w:hint="default" w:eastAsia="宋体"/>
                      <w:highlight w:val="none"/>
                      <w:lang w:val="en-US" w:eastAsia="zh-CN"/>
                    </w:rPr>
                  </w:pPr>
                  <w:r>
                    <w:rPr>
                      <w:rFonts w:hint="eastAsia"/>
                      <w:highlight w:val="none"/>
                      <w:lang w:val="en-US" w:eastAsia="zh-CN"/>
                    </w:rPr>
                    <w:t>2022-04-06</w:t>
                  </w:r>
                </w:p>
              </w:tc>
              <w:tc>
                <w:tcPr>
                  <w:tcW w:w="1809" w:type="dxa"/>
                  <w:noWrap w:val="0"/>
                  <w:vAlign w:val="top"/>
                </w:tcPr>
                <w:p>
                  <w:pPr>
                    <w:rPr>
                      <w:rFonts w:hint="default" w:eastAsia="宋体"/>
                      <w:highlight w:val="none"/>
                      <w:lang w:val="en-US" w:eastAsia="zh-CN"/>
                    </w:rPr>
                  </w:pPr>
                  <w:r>
                    <w:rPr>
                      <w:rFonts w:hint="eastAsia"/>
                      <w:highlight w:val="none"/>
                      <w:lang w:val="en-US" w:eastAsia="zh-CN"/>
                    </w:rPr>
                    <w:t>2年</w:t>
                  </w:r>
                </w:p>
              </w:tc>
              <w:tc>
                <w:tcPr>
                  <w:tcW w:w="1809" w:type="dxa"/>
                  <w:noWrap w:val="0"/>
                  <w:vAlign w:val="top"/>
                </w:tcPr>
                <w:p>
                  <w:pPr>
                    <w:rPr>
                      <w:rFonts w:hint="default" w:eastAsia="宋体"/>
                      <w:highlight w:val="none"/>
                      <w:lang w:val="en-US" w:eastAsia="zh-CN"/>
                    </w:rPr>
                  </w:pPr>
                  <w:r>
                    <w:rPr>
                      <w:rFonts w:hint="eastAsia"/>
                      <w:highlight w:val="none"/>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08"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粉饼</w:t>
                  </w:r>
                </w:p>
              </w:tc>
              <w:tc>
                <w:tcPr>
                  <w:tcW w:w="1808"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1kg</w:t>
                  </w:r>
                </w:p>
              </w:tc>
              <w:tc>
                <w:tcPr>
                  <w:tcW w:w="1809"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2022-04-14</w:t>
                  </w:r>
                </w:p>
              </w:tc>
              <w:tc>
                <w:tcPr>
                  <w:tcW w:w="1809"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809" w:type="dxa"/>
                  <w:noWrap w:val="0"/>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rPr>
                      <w:rFonts w:hint="default" w:eastAsia="宋体"/>
                      <w:highlight w:val="yellow"/>
                      <w:lang w:val="en-US" w:eastAsia="zh-CN"/>
                    </w:rPr>
                  </w:pPr>
                </w:p>
              </w:tc>
              <w:tc>
                <w:tcPr>
                  <w:tcW w:w="1808" w:type="dxa"/>
                  <w:noWrap w:val="0"/>
                  <w:vAlign w:val="top"/>
                </w:tcPr>
                <w:p>
                  <w:pPr>
                    <w:rPr>
                      <w:highlight w:val="yellow"/>
                    </w:rPr>
                  </w:pPr>
                </w:p>
              </w:tc>
              <w:tc>
                <w:tcPr>
                  <w:tcW w:w="1809" w:type="dxa"/>
                  <w:noWrap w:val="0"/>
                  <w:vAlign w:val="top"/>
                </w:tcPr>
                <w:p>
                  <w:pPr>
                    <w:rPr>
                      <w:rFonts w:hint="default" w:eastAsia="宋体"/>
                      <w:highlight w:val="yellow"/>
                      <w:lang w:val="en-US" w:eastAsia="zh-CN"/>
                    </w:rPr>
                  </w:pPr>
                </w:p>
              </w:tc>
              <w:tc>
                <w:tcPr>
                  <w:tcW w:w="1809"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eastAsia" w:ascii="Times New Roman" w:hAnsi="Times New Roman" w:eastAsia="宋体" w:cs="Times New Roman"/>
                      <w:kern w:val="2"/>
                      <w:sz w:val="21"/>
                      <w:highlight w:val="yellow"/>
                      <w:lang w:val="en-US" w:eastAsia="zh-CN" w:bidi="ar-SA"/>
                    </w:rPr>
                  </w:pPr>
                </w:p>
              </w:tc>
            </w:tr>
          </w:tbl>
          <w:p>
            <w:pPr>
              <w:pStyle w:val="3"/>
              <w:rPr>
                <w:rFonts w:hint="default" w:eastAsia="宋体"/>
                <w:lang w:val="en-US" w:eastAsia="zh-CN"/>
              </w:rPr>
            </w:pPr>
          </w:p>
          <w:p>
            <w:r>
              <w:t>系统的验证包括最终产品数量与成分数量的核对，作为追溯性有效性的证据。</w:t>
            </w:r>
            <w:r>
              <w:rPr/>
              <w:sym w:font="Wingdings" w:char="00FE"/>
            </w:r>
            <w:r>
              <w:t xml:space="preserve">是  </w:t>
            </w:r>
            <w:r>
              <w:rPr/>
              <w:sym w:font="Wingdings" w:char="00A8"/>
            </w:r>
            <w:r>
              <w:t>否</w:t>
            </w:r>
          </w:p>
          <w:p>
            <w:pPr>
              <w:pStyle w:val="7"/>
              <w:rPr>
                <w:rFonts w:ascii="Times New Roman" w:hAnsi="Times New Roman"/>
              </w:rPr>
            </w:pPr>
          </w:p>
        </w:tc>
        <w:tc>
          <w:tcPr>
            <w:tcW w:w="156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769" w:hRule="atLeast"/>
        </w:trPr>
        <w:tc>
          <w:tcPr>
            <w:tcW w:w="2123" w:type="dxa"/>
            <w:vMerge w:val="continue"/>
            <w:noWrap w:val="0"/>
            <w:vAlign w:val="top"/>
          </w:tcPr>
          <w:p/>
        </w:tc>
        <w:tc>
          <w:tcPr>
            <w:tcW w:w="996" w:type="dxa"/>
            <w:gridSpan w:val="2"/>
            <w:vMerge w:val="continue"/>
            <w:noWrap w:val="0"/>
            <w:vAlign w:val="top"/>
          </w:tcPr>
          <w:p/>
        </w:tc>
        <w:tc>
          <w:tcPr>
            <w:tcW w:w="745" w:type="dxa"/>
            <w:gridSpan w:val="2"/>
            <w:noWrap w:val="0"/>
            <w:vAlign w:val="top"/>
          </w:tcPr>
          <w:p>
            <w:r>
              <w:t>现场观察</w:t>
            </w:r>
          </w:p>
        </w:tc>
        <w:tc>
          <w:tcPr>
            <w:tcW w:w="9275" w:type="dxa"/>
            <w:noWrap w:val="0"/>
            <w:vAlign w:val="top"/>
          </w:tcPr>
          <w:p>
            <w:pPr>
              <w:rPr>
                <w:rFonts w:hint="eastAsia"/>
                <w:lang w:eastAsia="zh-CN"/>
              </w:rPr>
            </w:pPr>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p>
          <w:p>
            <w:pPr>
              <w:pStyle w:val="6"/>
              <w:pBdr>
                <w:bottom w:val="none" w:color="auto" w:sz="0" w:space="0"/>
              </w:pBdr>
              <w:tabs>
                <w:tab w:val="center" w:pos="5737"/>
                <w:tab w:val="clear" w:pos="4153"/>
              </w:tabs>
              <w:jc w:val="both"/>
              <w:rPr>
                <w:rFonts w:hint="default" w:eastAsia="宋体"/>
                <w:color w:val="000000"/>
                <w:sz w:val="21"/>
                <w:szCs w:val="21"/>
                <w:u w:val="single"/>
                <w:lang w:val="en-US" w:eastAsia="zh-CN"/>
              </w:rPr>
            </w:pPr>
            <w:r>
              <w:t>在生产或服务场所对半成品的标识情况：</w:t>
            </w:r>
            <w:r>
              <w:rPr/>
              <w:sym w:font="Wingdings" w:char="00FE"/>
            </w:r>
            <w:r>
              <w:t xml:space="preserve">区分清楚  </w:t>
            </w:r>
            <w:r>
              <w:rPr/>
              <w:sym w:font="Wingdings" w:char="00FE"/>
            </w:r>
            <w:r>
              <w:t xml:space="preserve">防护得当 </w:t>
            </w:r>
            <w:r>
              <w:rPr/>
              <w:sym w:font="Wingdings" w:char="00A8"/>
            </w:r>
            <w:r>
              <w:t>不适宜说明：</w:t>
            </w:r>
            <w:r>
              <w:rPr>
                <w:rFonts w:hint="eastAsia"/>
                <w:lang w:val="en-US" w:eastAsia="zh-CN"/>
              </w:rPr>
              <w:t>视频</w:t>
            </w:r>
            <w:r>
              <w:rPr>
                <w:rFonts w:hint="eastAsia"/>
                <w:color w:val="000000"/>
                <w:sz w:val="21"/>
                <w:szCs w:val="21"/>
                <w:u w:val="single"/>
              </w:rPr>
              <w:t>查看现场：烘干和包装等工序产品有带框着地放置情况；</w:t>
            </w:r>
            <w:r>
              <w:rPr>
                <w:rFonts w:hint="eastAsia"/>
                <w:color w:val="000000"/>
                <w:sz w:val="21"/>
                <w:szCs w:val="21"/>
                <w:u w:val="single"/>
                <w:lang w:val="en-US" w:eastAsia="zh-CN"/>
              </w:rPr>
              <w:t>已进行整改</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pPr>
              <w:rPr>
                <w:rFonts w:ascii="Times New Roman" w:hAnsi="Times New Roman" w:eastAsia="宋体" w:cs="Times New Roman"/>
              </w:rPr>
            </w:pPr>
            <w:r>
              <w:t>在</w:t>
            </w:r>
            <w:r>
              <w:rPr>
                <w:rFonts w:ascii="Times New Roman" w:hAnsi="Times New Roman" w:eastAsia="宋体" w:cs="Times New Roman"/>
              </w:rPr>
              <w:t>原材料库房的标识情况：</w:t>
            </w:r>
            <w:r>
              <w:rPr>
                <w:rFonts w:ascii="Times New Roman" w:hAnsi="Times New Roman" w:eastAsia="宋体" w:cs="Times New Roman"/>
              </w:rPr>
              <w:fldChar w:fldCharType="begin"/>
            </w:r>
            <w:r>
              <w:rPr>
                <w:rFonts w:ascii="Times New Roman" w:hAnsi="Times New Roman" w:eastAsia="宋体" w:cs="Times New Roman"/>
              </w:rPr>
              <w:instrText xml:space="preserve"> eq \o\ac(□,√)</w:instrText>
            </w:r>
            <w:r>
              <w:rPr>
                <w:rFonts w:ascii="Times New Roman" w:hAnsi="Times New Roman" w:eastAsia="宋体" w:cs="Times New Roman"/>
              </w:rPr>
              <w:fldChar w:fldCharType="end"/>
            </w:r>
            <w:r>
              <w:rPr>
                <w:rFonts w:ascii="Times New Roman" w:hAnsi="Times New Roman" w:eastAsia="宋体" w:cs="Times New Roman"/>
              </w:rPr>
              <w:t xml:space="preserve">区分清楚  </w:t>
            </w:r>
            <w:r>
              <w:rPr>
                <w:rFonts w:ascii="Times New Roman" w:hAnsi="Times New Roman" w:eastAsia="宋体" w:cs="Times New Roman"/>
              </w:rPr>
              <w:fldChar w:fldCharType="begin"/>
            </w:r>
            <w:r>
              <w:rPr>
                <w:rFonts w:ascii="Times New Roman" w:hAnsi="Times New Roman" w:eastAsia="宋体" w:cs="Times New Roman"/>
              </w:rPr>
              <w:instrText xml:space="preserve"> eq \o\ac(□,√)</w:instrText>
            </w:r>
            <w:r>
              <w:rPr>
                <w:rFonts w:ascii="Times New Roman" w:hAnsi="Times New Roman" w:eastAsia="宋体" w:cs="Times New Roman"/>
              </w:rPr>
              <w:fldChar w:fldCharType="end"/>
            </w:r>
            <w:r>
              <w:rPr>
                <w:rFonts w:ascii="Times New Roman" w:hAnsi="Times New Roman" w:eastAsia="宋体" w:cs="Times New Roman"/>
              </w:rPr>
              <w:t xml:space="preserve">防护得当 </w:t>
            </w:r>
            <w:r>
              <w:rPr>
                <w:rFonts w:ascii="Times New Roman" w:hAnsi="Times New Roman" w:eastAsia="宋体" w:cs="Times New Roman"/>
              </w:rPr>
              <w:sym w:font="Wingdings" w:char="00A8"/>
            </w:r>
            <w:r>
              <w:rPr>
                <w:rFonts w:ascii="Times New Roman" w:hAnsi="Times New Roman" w:eastAsia="宋体" w:cs="Times New Roman"/>
              </w:rPr>
              <w:t>不适宜说明：</w:t>
            </w:r>
          </w:p>
          <w:p>
            <w:pPr>
              <w:pStyle w:val="18"/>
              <w:rPr>
                <w:rFonts w:hint="default" w:eastAsia="宋体"/>
                <w:u w:val="single"/>
                <w:lang w:val="en-US" w:eastAsia="zh-CN"/>
              </w:rPr>
            </w:pPr>
            <w:r>
              <w:rPr>
                <w:rFonts w:hint="eastAsia" w:cs="Times New Roman"/>
                <w:u w:val="single"/>
                <w:lang w:val="en-US" w:eastAsia="zh-CN"/>
              </w:rPr>
              <w:t>一阶段问题：在原料库房存放的</w:t>
            </w:r>
            <w:r>
              <w:rPr>
                <w:rFonts w:hint="eastAsia"/>
                <w:color w:val="000000"/>
                <w:sz w:val="21"/>
                <w:szCs w:val="21"/>
                <w:u w:val="single"/>
              </w:rPr>
              <w:t>客户来料（马铃薯淀粉）未见标识；</w:t>
            </w:r>
            <w:r>
              <w:rPr>
                <w:rFonts w:hint="eastAsia"/>
                <w:color w:val="000000"/>
                <w:sz w:val="21"/>
                <w:szCs w:val="21"/>
                <w:u w:val="single"/>
                <w:lang w:val="en-US" w:eastAsia="zh-CN"/>
              </w:rPr>
              <w:t>经过验证已整改；</w:t>
            </w:r>
          </w:p>
          <w:p>
            <w:pPr>
              <w:rPr>
                <w:rFonts w:hint="eastAsia" w:eastAsia="宋体"/>
                <w:u w:val="single"/>
                <w:lang w:val="en-US" w:eastAsia="zh-CN"/>
              </w:rPr>
            </w:pPr>
            <w:r>
              <w:t>在半成品库房的标识情况：</w:t>
            </w:r>
            <w:r>
              <w:rPr/>
              <w:sym w:font="Wingdings" w:char="00A8"/>
            </w:r>
            <w:r>
              <w:t xml:space="preserve">区分清楚  </w:t>
            </w:r>
            <w:r>
              <w:rPr/>
              <w:sym w:font="Wingdings" w:char="00A8"/>
            </w:r>
            <w:r>
              <w:t xml:space="preserve">防护得当 </w:t>
            </w:r>
            <w:r>
              <w:rPr/>
              <w:sym w:font="Wingdings" w:char="00A8"/>
            </w:r>
            <w:r>
              <w:t>不适宜说明：</w:t>
            </w:r>
            <w:r>
              <w:rPr>
                <w:rFonts w:hint="eastAsia"/>
                <w:lang w:eastAsia="zh-CN"/>
              </w:rPr>
              <w:t>（</w:t>
            </w:r>
            <w:r>
              <w:rPr>
                <w:rFonts w:hint="eastAsia"/>
                <w:lang w:val="en-US" w:eastAsia="zh-CN"/>
              </w:rPr>
              <w:t>不适用</w:t>
            </w:r>
            <w:r>
              <w:rPr>
                <w:rFonts w:hint="eastAsia"/>
                <w:lang w:eastAsia="zh-CN"/>
              </w:rPr>
              <w:t>）</w:t>
            </w:r>
          </w:p>
          <w:p>
            <w:pPr>
              <w:rPr>
                <w:rFonts w:hint="default" w:eastAsia="宋体"/>
                <w:lang w:val="en-US" w:eastAsia="zh-CN"/>
              </w:rPr>
            </w:pPr>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tc>
        <w:tc>
          <w:tcPr>
            <w:tcW w:w="156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restart"/>
          </w:tcPr>
          <w:p>
            <w:pPr>
              <w:rPr>
                <w:rFonts w:hint="eastAsia"/>
              </w:rPr>
            </w:pPr>
            <w:r>
              <w:rPr>
                <w:rFonts w:hint="eastAsia"/>
              </w:rPr>
              <w:t>撤回/召回</w:t>
            </w:r>
          </w:p>
          <w:p/>
        </w:tc>
        <w:tc>
          <w:tcPr>
            <w:tcW w:w="994" w:type="dxa"/>
            <w:vMerge w:val="restart"/>
          </w:tcPr>
          <w:p>
            <w:r>
              <w:rPr>
                <w:rFonts w:hint="eastAsia"/>
              </w:rPr>
              <w:t>F</w:t>
            </w:r>
            <w:r>
              <w:t>8.4</w:t>
            </w:r>
          </w:p>
          <w:p>
            <w:pPr>
              <w:pStyle w:val="3"/>
              <w:ind w:left="0" w:leftChars="0" w:firstLine="0" w:firstLineChars="0"/>
              <w:rPr>
                <w:rFonts w:hint="default" w:eastAsia="宋体"/>
                <w:lang w:val="en-US" w:eastAsia="zh-CN"/>
              </w:rPr>
            </w:pPr>
            <w:r>
              <w:rPr>
                <w:rFonts w:hint="eastAsia"/>
                <w:lang w:val="en-US" w:eastAsia="zh-CN"/>
              </w:rPr>
              <w:t>F8.9.5</w:t>
            </w:r>
          </w:p>
          <w:p/>
        </w:tc>
        <w:tc>
          <w:tcPr>
            <w:tcW w:w="745" w:type="dxa"/>
            <w:gridSpan w:val="2"/>
          </w:tcPr>
          <w:p>
            <w:r>
              <w:rPr>
                <w:rFonts w:hint="eastAsia"/>
              </w:rPr>
              <w:t>文件名称</w:t>
            </w:r>
          </w:p>
        </w:tc>
        <w:tc>
          <w:tcPr>
            <w:tcW w:w="9277" w:type="dxa"/>
            <w:gridSpan w:val="2"/>
          </w:tcPr>
          <w:p>
            <w:pPr>
              <w:spacing w:line="480" w:lineRule="exact"/>
              <w:rPr>
                <w:rFonts w:hint="eastAsia"/>
              </w:rPr>
            </w:pPr>
            <w:r>
              <w:rPr>
                <w:rFonts w:hint="eastAsia"/>
              </w:rPr>
              <w:t>如：</w:t>
            </w:r>
            <w:r>
              <w:rPr>
                <w:highlight w:val="none"/>
              </w:rPr>
              <w:fldChar w:fldCharType="begin"/>
            </w:r>
            <w:r>
              <w:rPr>
                <w:highlight w:val="none"/>
              </w:rPr>
              <w:instrText xml:space="preserve"> eq \o\ac(□,√)</w:instrText>
            </w:r>
            <w:r>
              <w:rPr>
                <w:highlight w:val="none"/>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highlight w:val="none"/>
              </w:rPr>
              <w:t>8.</w:t>
            </w:r>
            <w:r>
              <w:rPr>
                <w:rFonts w:hint="eastAsia"/>
                <w:highlight w:val="none"/>
                <w:lang w:val="en-US" w:eastAsia="zh-CN"/>
              </w:rPr>
              <w:t>1.3</w:t>
            </w:r>
            <w:r>
              <w:rPr>
                <w:highlight w:val="none"/>
              </w:rPr>
              <w:t>条款、</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w:t>
            </w:r>
            <w:r>
              <w:rPr>
                <w:rFonts w:hint="eastAsia"/>
                <w:highlight w:val="none"/>
              </w:rPr>
              <w:t>产品标识和可追溯性控制程序</w:t>
            </w:r>
            <w:r>
              <w:rPr>
                <w:szCs w:val="16"/>
                <w:highlight w:val="none"/>
              </w:rPr>
              <w:t>》</w:t>
            </w:r>
            <w:r>
              <w:rPr>
                <w:highlight w:val="none"/>
              </w:rPr>
              <w:t>、</w:t>
            </w:r>
            <w:r>
              <w:rPr>
                <w:highlight w:val="none"/>
              </w:rPr>
              <w:fldChar w:fldCharType="begin"/>
            </w:r>
            <w:r>
              <w:rPr>
                <w:highlight w:val="none"/>
              </w:rPr>
              <w:instrText xml:space="preserve"> eq \o\ac(□,√)</w:instrText>
            </w:r>
            <w:r>
              <w:rPr>
                <w:highlight w:val="none"/>
              </w:rPr>
              <w:fldChar w:fldCharType="end"/>
            </w:r>
            <w:r>
              <w:rPr>
                <w:highlight w:val="none"/>
              </w:rPr>
              <w:t>《前提方案》</w:t>
            </w:r>
            <w:r>
              <w:rPr>
                <w:rFonts w:hint="eastAsia"/>
                <w:highlight w:val="none"/>
                <w:lang w:eastAsia="zh-CN"/>
              </w:rPr>
              <w:t>、</w:t>
            </w:r>
            <w:r>
              <w:rPr>
                <w:highlight w:val="none"/>
              </w:rPr>
              <w:fldChar w:fldCharType="begin"/>
            </w:r>
            <w:r>
              <w:rPr>
                <w:highlight w:val="none"/>
              </w:rPr>
              <w:instrText xml:space="preserve"> eq \o\ac(□,√)</w:instrText>
            </w:r>
            <w:r>
              <w:rPr>
                <w:highlight w:val="none"/>
              </w:rPr>
              <w:fldChar w:fldCharType="end"/>
            </w:r>
            <w:r>
              <w:rPr>
                <w:rFonts w:hint="eastAsia"/>
                <w:highlight w:val="none"/>
                <w:lang w:eastAsia="zh-CN"/>
              </w:rPr>
              <w:t>《不安全产品召回控制程序》、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1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77" w:type="dxa"/>
            <w:gridSpan w:val="2"/>
          </w:tcPr>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食品安全小组组长</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highlight w:val="none"/>
                    </w:rPr>
                  </w:pPr>
                </w:p>
              </w:tc>
              <w:tc>
                <w:tcPr>
                  <w:tcW w:w="2193" w:type="dxa"/>
                  <w:shd w:val="clear" w:color="auto" w:fill="auto"/>
                </w:tcPr>
                <w:p>
                  <w:pPr>
                    <w:rPr>
                      <w:highlight w:val="none"/>
                    </w:rPr>
                  </w:pPr>
                  <w:r>
                    <w:rPr>
                      <w:rFonts w:hint="eastAsia"/>
                      <w:highlight w:val="none"/>
                    </w:rPr>
                    <w:t>实施责任部门</w:t>
                  </w:r>
                </w:p>
              </w:tc>
              <w:tc>
                <w:tcPr>
                  <w:tcW w:w="3015"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通知法定和监管机构</w:t>
                  </w:r>
                </w:p>
              </w:tc>
              <w:tc>
                <w:tcPr>
                  <w:tcW w:w="2193" w:type="dxa"/>
                  <w:shd w:val="clear" w:color="auto" w:fill="auto"/>
                </w:tcPr>
                <w:p>
                  <w:pPr>
                    <w:rPr>
                      <w:rFonts w:hint="default" w:eastAsia="宋体"/>
                      <w:highlight w:val="none"/>
                      <w:u w:val="none"/>
                      <w:lang w:val="en-US" w:eastAsia="zh-CN"/>
                    </w:rPr>
                  </w:pPr>
                  <w:r>
                    <w:rPr>
                      <w:rFonts w:hint="eastAsia"/>
                      <w:highlight w:val="none"/>
                      <w:u w:val="none"/>
                      <w:lang w:val="en-US" w:eastAsia="zh-CN"/>
                    </w:rPr>
                    <w:t>召回应急小组</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通知客户</w:t>
                  </w:r>
                </w:p>
              </w:tc>
              <w:tc>
                <w:tcPr>
                  <w:tcW w:w="2193" w:type="dxa"/>
                  <w:shd w:val="clear" w:color="auto" w:fill="auto"/>
                </w:tcPr>
                <w:p>
                  <w:pPr>
                    <w:rPr>
                      <w:highlight w:val="none"/>
                      <w:u w:val="none"/>
                    </w:rPr>
                  </w:pPr>
                  <w:r>
                    <w:rPr>
                      <w:rFonts w:hint="eastAsia"/>
                      <w:highlight w:val="none"/>
                      <w:u w:val="none"/>
                      <w:lang w:val="en-US" w:eastAsia="zh-CN"/>
                    </w:rPr>
                    <w:t>销售部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通知消费者</w:t>
                  </w:r>
                </w:p>
              </w:tc>
              <w:tc>
                <w:tcPr>
                  <w:tcW w:w="2193" w:type="dxa"/>
                  <w:shd w:val="clear" w:color="auto" w:fill="auto"/>
                </w:tcPr>
                <w:p>
                  <w:pPr>
                    <w:rPr>
                      <w:highlight w:val="none"/>
                      <w:u w:val="none"/>
                    </w:rPr>
                  </w:pPr>
                  <w:r>
                    <w:rPr>
                      <w:rFonts w:hint="eastAsia"/>
                      <w:highlight w:val="none"/>
                      <w:u w:val="none"/>
                      <w:lang w:val="en-US" w:eastAsia="zh-CN"/>
                    </w:rPr>
                    <w:t>销售部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处置撤回产品</w:t>
                  </w:r>
                </w:p>
              </w:tc>
              <w:tc>
                <w:tcPr>
                  <w:tcW w:w="2193" w:type="dxa"/>
                  <w:shd w:val="clear" w:color="auto" w:fill="auto"/>
                </w:tcPr>
                <w:p>
                  <w:pPr>
                    <w:keepNext w:val="0"/>
                    <w:keepLines w:val="0"/>
                    <w:widowControl/>
                    <w:suppressLineNumbers w:val="0"/>
                    <w:jc w:val="left"/>
                    <w:rPr>
                      <w:highlight w:val="none"/>
                    </w:rPr>
                  </w:pPr>
                  <w:r>
                    <w:rPr>
                      <w:rFonts w:hint="eastAsia" w:ascii="宋体" w:hAnsi="宋体" w:eastAsia="宋体" w:cs="宋体"/>
                      <w:color w:val="000000"/>
                      <w:kern w:val="0"/>
                      <w:sz w:val="22"/>
                      <w:szCs w:val="22"/>
                      <w:lang w:val="en-US" w:eastAsia="zh-CN" w:bidi="ar"/>
                    </w:rPr>
                    <w:t>质量管理部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处置库存中受影响的批次/批号产品</w:t>
                  </w:r>
                </w:p>
              </w:tc>
              <w:tc>
                <w:tcPr>
                  <w:tcW w:w="2193" w:type="dxa"/>
                  <w:shd w:val="clear" w:color="auto" w:fill="auto"/>
                </w:tcPr>
                <w:p>
                  <w:pPr>
                    <w:keepNext w:val="0"/>
                    <w:keepLines w:val="0"/>
                    <w:widowControl/>
                    <w:suppressLineNumbers w:val="0"/>
                    <w:jc w:val="left"/>
                    <w:rPr>
                      <w:rFonts w:hint="default" w:eastAsia="宋体"/>
                      <w:highlight w:val="none"/>
                      <w:lang w:val="en-US" w:eastAsia="zh-CN"/>
                    </w:rPr>
                  </w:pPr>
                  <w:r>
                    <w:rPr>
                      <w:rFonts w:hint="eastAsia" w:ascii="宋体" w:hAnsi="宋体" w:eastAsia="宋体" w:cs="宋体"/>
                      <w:color w:val="000000"/>
                      <w:kern w:val="0"/>
                      <w:sz w:val="22"/>
                      <w:szCs w:val="22"/>
                      <w:lang w:val="en-US" w:eastAsia="zh-CN" w:bidi="ar"/>
                    </w:rPr>
                    <w:t>质量管理部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安排采取措施的顺序</w:t>
                  </w:r>
                </w:p>
              </w:tc>
              <w:tc>
                <w:tcPr>
                  <w:tcW w:w="2193" w:type="dxa"/>
                  <w:shd w:val="clear" w:color="auto" w:fill="auto"/>
                </w:tcPr>
                <w:p>
                  <w:pPr>
                    <w:rPr>
                      <w:rFonts w:hint="default" w:eastAsia="宋体"/>
                      <w:highlight w:val="none"/>
                      <w:lang w:val="en-US" w:eastAsia="zh-CN"/>
                    </w:rPr>
                  </w:pPr>
                  <w:r>
                    <w:rPr>
                      <w:rFonts w:hint="eastAsia"/>
                      <w:highlight w:val="none"/>
                      <w:u w:val="none"/>
                      <w:lang w:val="en-US" w:eastAsia="zh-CN"/>
                    </w:rPr>
                    <w:t>召回应急小组</w:t>
                  </w:r>
                </w:p>
              </w:tc>
              <w:tc>
                <w:tcPr>
                  <w:tcW w:w="3015" w:type="dxa"/>
                  <w:shd w:val="clear" w:color="auto" w:fill="auto"/>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A8"/>
            </w:r>
            <w:r>
              <w:rPr>
                <w:rFonts w:hint="eastAsia"/>
                <w:highlight w:val="none"/>
              </w:rPr>
              <w:t>撤回或</w:t>
            </w:r>
            <w:r>
              <w:rPr>
                <w:rFonts w:hint="eastAsia"/>
                <w:highlight w:val="none"/>
              </w:rPr>
              <w:sym w:font="Wingdings" w:char="00A8"/>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rFonts w:hint="eastAsia"/>
                <w:highlight w:val="none"/>
              </w:rPr>
            </w:pPr>
            <w:r>
              <w:rPr>
                <w:rFonts w:hint="eastAsia"/>
                <w:highlight w:val="none"/>
              </w:rPr>
              <w:t>本部门是否发生产品的撤回或召回方面的处置：</w:t>
            </w:r>
          </w:p>
          <w:p>
            <w:pPr>
              <w:pStyle w:val="18"/>
              <w:rPr>
                <w:rFonts w:hint="eastAsia"/>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lang w:val="en-US" w:eastAsia="zh-CN"/>
                    </w:rPr>
                  </w:pPr>
                  <w:bookmarkStart w:id="0" w:name="_GoBack"/>
                  <w:r>
                    <w:rPr>
                      <w:rFonts w:hint="eastAsia" w:ascii="宋体" w:hAnsi="宋体"/>
                      <w:lang w:eastAsia="zh-CN"/>
                    </w:rPr>
                    <w:t>20220223</w:t>
                  </w:r>
                  <w:bookmarkEnd w:id="0"/>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hint="default" w:asciiTheme="minorEastAsia" w:hAnsiTheme="minorEastAsia" w:eastAsiaTheme="minorEastAsia"/>
                      <w:szCs w:val="21"/>
                      <w:lang w:val="en-US" w:eastAsia="zh-CN"/>
                    </w:rPr>
                  </w:pPr>
                  <w:r>
                    <w:rPr>
                      <w:rFonts w:hint="eastAsia" w:ascii="宋体" w:hAnsi="宋体"/>
                      <w:lang w:val="en-US" w:eastAsia="zh-CN"/>
                    </w:rPr>
                    <w:t>粉条：</w:t>
                  </w:r>
                  <w:r>
                    <w:rPr>
                      <w:rFonts w:hint="eastAsia" w:ascii="宋体" w:hAnsi="宋体"/>
                      <w:lang w:eastAsia="zh-CN"/>
                    </w:rPr>
                    <w:t>断条</w:t>
                  </w:r>
                  <w:r>
                    <w:rPr>
                      <w:rFonts w:hint="eastAsia" w:ascii="宋体" w:hAnsi="宋体"/>
                      <w:lang w:val="en-US" w:eastAsia="zh-CN"/>
                    </w:rPr>
                    <w:t>现象</w:t>
                  </w:r>
                </w:p>
              </w:tc>
              <w:tc>
                <w:tcPr>
                  <w:tcW w:w="1927" w:type="dxa"/>
                  <w:shd w:val="clear" w:color="auto" w:fill="auto"/>
                </w:tcPr>
                <w:p>
                  <w:pPr>
                    <w:rPr>
                      <w:rFonts w:hint="default" w:eastAsia="宋体" w:asciiTheme="minorEastAsia" w:hAnsiTheme="minorEastAsia"/>
                      <w:szCs w:val="21"/>
                      <w:lang w:val="en-US" w:eastAsia="zh-CN"/>
                    </w:rPr>
                  </w:pPr>
                  <w:r>
                    <w:rPr>
                      <w:rFonts w:hint="eastAsia"/>
                      <w:lang w:val="en-US" w:eastAsia="zh-CN"/>
                    </w:rPr>
                    <w:t>100%撤回</w:t>
                  </w:r>
                </w:p>
              </w:tc>
              <w:tc>
                <w:tcPr>
                  <w:tcW w:w="1518" w:type="dxa"/>
                  <w:shd w:val="clear" w:color="auto" w:fill="auto"/>
                </w:tcPr>
                <w:p>
                  <w:pPr>
                    <w:rPr>
                      <w:rFonts w:ascii="宋体" w:hAnsi="宋体"/>
                      <w:sz w:val="18"/>
                      <w:szCs w:val="18"/>
                    </w:rPr>
                  </w:pPr>
                  <w:r>
                    <w:rPr>
                      <w:rFonts w:hint="eastAsia"/>
                      <w:lang w:eastAsia="zh-CN"/>
                    </w:rPr>
                    <w:t>模拟回收隔离存放，销毁处理</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18"/>
              <w:rPr>
                <w:rFonts w:hint="eastAsia"/>
                <w:highlight w:val="none"/>
              </w:rPr>
            </w:pPr>
          </w:p>
          <w:p>
            <w:pPr>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w:t>
            </w:r>
            <w:r>
              <w:rPr>
                <w:rFonts w:hint="eastAsia"/>
                <w:highlight w:val="none"/>
                <w:lang w:eastAsia="zh-CN"/>
              </w:rPr>
              <w:t>模拟追溯和召回报告</w:t>
            </w:r>
            <w:r>
              <w:rPr>
                <w:rFonts w:hint="eastAsia"/>
                <w:highlight w:val="none"/>
              </w:rPr>
              <w:t>》， 并向最高管理者报告， 作为管理评审的输入。</w:t>
            </w:r>
          </w:p>
          <w:p/>
        </w:tc>
        <w:tc>
          <w:tcPr>
            <w:tcW w:w="1568"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28" w:type="dxa"/>
            <w:gridSpan w:val="2"/>
            <w:vMerge w:val="restart"/>
          </w:tcPr>
          <w:p>
            <w:r>
              <w:rPr>
                <w:rFonts w:hint="eastAsia"/>
              </w:rPr>
              <w:t>应急预案</w:t>
            </w:r>
          </w:p>
        </w:tc>
        <w:tc>
          <w:tcPr>
            <w:tcW w:w="994" w:type="dxa"/>
            <w:vMerge w:val="restart"/>
          </w:tcPr>
          <w:p>
            <w:r>
              <w:t>F8.4</w:t>
            </w:r>
          </w:p>
          <w:p/>
        </w:tc>
        <w:tc>
          <w:tcPr>
            <w:tcW w:w="745" w:type="dxa"/>
            <w:gridSpan w:val="2"/>
          </w:tcPr>
          <w:p>
            <w:r>
              <w:rPr>
                <w:rFonts w:hint="eastAsia"/>
              </w:rPr>
              <w:t>文件名称</w:t>
            </w:r>
          </w:p>
        </w:tc>
        <w:tc>
          <w:tcPr>
            <w:tcW w:w="9277" w:type="dxa"/>
            <w:gridSpan w:val="2"/>
          </w:tcPr>
          <w:p>
            <w:pPr>
              <w:rPr>
                <w:rFonts w:hint="default" w:eastAsia="宋体"/>
                <w:lang w:val="en-US" w:eastAsia="zh-CN"/>
              </w:rPr>
            </w:pPr>
            <w:r>
              <w:rPr>
                <w:rFonts w:hint="eastAsia"/>
              </w:rPr>
              <w:t>如：</w:t>
            </w:r>
            <w:r>
              <w:rPr>
                <w:rFonts w:hint="eastAsia"/>
              </w:rPr>
              <w:fldChar w:fldCharType="begin"/>
            </w:r>
            <w:r>
              <w:rPr>
                <w:rFonts w:hint="eastAsia"/>
              </w:rPr>
              <w:instrText xml:space="preserve"> eq \o\ac(□,√)</w:instrText>
            </w:r>
            <w:r>
              <w:rPr>
                <w:rFonts w:hint="eastAsia"/>
              </w:rPr>
              <w:fldChar w:fldCharType="end"/>
            </w:r>
            <w:r>
              <w:rPr>
                <w:rFonts w:hint="eastAsia"/>
                <w:lang w:eastAsia="zh-CN"/>
              </w:rPr>
              <w:t>《</w:t>
            </w:r>
            <w:r>
              <w:rPr>
                <w:rFonts w:hint="eastAsia"/>
                <w:lang w:val="en-US" w:eastAsia="zh-CN"/>
              </w:rPr>
              <w:t>质量和食品安全管理</w:t>
            </w:r>
            <w:r>
              <w:rPr>
                <w:rFonts w:hint="eastAsia"/>
              </w:rPr>
              <w:t>手册</w:t>
            </w:r>
            <w:r>
              <w:rPr>
                <w:rFonts w:hint="eastAsia"/>
                <w:lang w:eastAsia="zh-CN"/>
              </w:rPr>
              <w:t>》</w:t>
            </w:r>
            <w:r>
              <w:rPr>
                <w:rFonts w:hint="eastAsia"/>
              </w:rPr>
              <w:t>8.</w:t>
            </w:r>
            <w:r>
              <w:rPr>
                <w:rFonts w:hint="eastAsia"/>
                <w:lang w:val="en-US" w:eastAsia="zh-CN"/>
              </w:rPr>
              <w:t>1.3</w:t>
            </w:r>
            <w:r>
              <w:rPr>
                <w:rFonts w:hint="eastAsia"/>
              </w:rPr>
              <w:t>条款</w:t>
            </w:r>
            <w:r>
              <w:rPr>
                <w:rFonts w:hint="eastAsia"/>
                <w:lang w:eastAsia="zh-CN"/>
              </w:rPr>
              <w:t>、</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lang w:eastAsia="zh-CN"/>
              </w:rPr>
              <w:t>、</w:t>
            </w:r>
            <w:r>
              <w:rPr>
                <w:rFonts w:hint="eastAsia"/>
              </w:rPr>
              <w:sym w:font="Wingdings" w:char="00A8"/>
            </w:r>
            <w:r>
              <w:rPr>
                <w:rFonts w:hint="eastAsia"/>
              </w:rPr>
              <w:t>《</w:t>
            </w:r>
            <w:r>
              <w:rPr>
                <w:rFonts w:hint="eastAsia"/>
                <w:lang w:val="en-US" w:eastAsia="zh-CN"/>
              </w:rPr>
              <w:t>突发事件准备和响应控制程序》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8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77" w:type="dxa"/>
            <w:gridSpan w:val="2"/>
          </w:tcPr>
          <w:p>
            <w:r>
              <w:rPr>
                <w:rFonts w:hint="eastAsia"/>
              </w:rPr>
              <w:t>可能影响食品安全事故和/或紧急情况的示例包括：</w:t>
            </w:r>
          </w:p>
          <w:p>
            <w:pPr>
              <w:rPr>
                <w:rFonts w:hint="eastAsia"/>
                <w:lang w:val="en-US" w:eastAsia="zh-CN"/>
              </w:rPr>
            </w:pPr>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A8"/>
            </w:r>
            <w:r>
              <w:rPr>
                <w:rFonts w:hint="eastAsia"/>
              </w:rPr>
              <w:t>食品</w:t>
            </w:r>
            <w:r>
              <w:rPr>
                <w:rFonts w:hint="eastAsia"/>
                <w:lang w:val="en-US" w:eastAsia="zh-CN"/>
              </w:rPr>
              <w:t>安全事故</w:t>
            </w:r>
          </w:p>
          <w:p>
            <w:r>
              <w:rPr>
                <w:rFonts w:hint="eastAsia"/>
              </w:rPr>
              <w:sym w:font="Wingdings" w:char="00A8"/>
            </w:r>
            <w:r>
              <w:rPr>
                <w:rFonts w:hint="eastAsia"/>
                <w:lang w:val="en-US" w:eastAsia="zh-CN"/>
              </w:rPr>
              <w:t xml:space="preserve">食物中毒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其他—食品供应链的突变</w:t>
            </w:r>
          </w:p>
          <w:p/>
          <w:p>
            <w:r>
              <w:rPr>
                <w:rFonts w:hint="eastAsia"/>
              </w:rPr>
              <w:t>组织应预先制定应对的方案和措施，必要时做出响应，以减少食品可能发生安全危害的影响。</w:t>
            </w:r>
          </w:p>
          <w:p>
            <w:pPr>
              <w:rPr>
                <w:rFonts w:hint="eastAsia" w:eastAsia="宋体"/>
                <w:lang w:eastAsia="zh-CN"/>
              </w:rPr>
            </w:pPr>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w:t>
            </w:r>
            <w:r>
              <w:rPr>
                <w:rFonts w:hint="eastAsia"/>
                <w:lang w:val="en-US" w:eastAsia="zh-CN"/>
              </w:rPr>
              <w:t>救援</w:t>
            </w:r>
            <w:r>
              <w:rPr>
                <w:rFonts w:hint="eastAsia"/>
              </w:rPr>
              <w:t>预案》</w:t>
            </w:r>
            <w:r>
              <w:rPr>
                <w:rFonts w:hint="eastAsia"/>
                <w:lang w:eastAsia="zh-CN"/>
              </w:rPr>
              <w:t>、</w:t>
            </w:r>
            <w:r>
              <w:rPr>
                <w:rFonts w:hint="eastAsia"/>
              </w:rPr>
              <w:sym w:font="Wingdings" w:char="00A8"/>
            </w:r>
            <w:r>
              <w:rPr>
                <w:rFonts w:hint="eastAsia"/>
              </w:rPr>
              <w:t>《</w:t>
            </w:r>
            <w:r>
              <w:rPr>
                <w:rFonts w:hint="eastAsia"/>
                <w:lang w:val="en-US" w:eastAsia="zh-CN"/>
              </w:rPr>
              <w:t>突发事件准备和响应控制程序》</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《火灾演练》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消防演习</w:t>
                  </w:r>
                </w:p>
              </w:tc>
              <w:tc>
                <w:tcPr>
                  <w:tcW w:w="2084" w:type="dxa"/>
                </w:tcPr>
                <w:p>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pPr>
                    <w:rPr>
                      <w:u w:val="none"/>
                    </w:rPr>
                  </w:pPr>
                  <w:r>
                    <w:rPr>
                      <w:rFonts w:hint="eastAsia"/>
                      <w:u w:val="none"/>
                    </w:rPr>
                    <w:t>火灾演练</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ascii="Times New Roman" w:hAnsi="Times New Roman" w:eastAsia="宋体" w:cs="Times New Roman"/>
                      <w:kern w:val="2"/>
                      <w:sz w:val="21"/>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实际发生</w:t>
                  </w:r>
                  <w:r>
                    <w:rPr>
                      <w:rFonts w:hint="eastAsia"/>
                    </w:rPr>
                    <w:sym w:font="Wingdings" w:char="00A8"/>
                  </w:r>
                  <w:r>
                    <w:rPr>
                      <w:rFonts w:hint="eastAsia"/>
                    </w:rPr>
                    <w:t>演练</w:t>
                  </w:r>
                </w:p>
              </w:tc>
              <w:tc>
                <w:tcPr>
                  <w:tcW w:w="2913" w:type="dxa"/>
                  <w:vAlign w:val="top"/>
                </w:tcPr>
                <w:p>
                  <w:pPr>
                    <w:rPr>
                      <w:rFonts w:hint="eastAsia" w:ascii="Times New Roman" w:hAnsi="Times New Roman" w:eastAsia="宋体" w:cs="Times New Roman"/>
                      <w:kern w:val="2"/>
                      <w:sz w:val="21"/>
                      <w:u w:val="none"/>
                      <w:lang w:val="en-US" w:eastAsia="zh-CN" w:bidi="ar-SA"/>
                    </w:rPr>
                  </w:pPr>
                  <w:r>
                    <w:rPr>
                      <w:rFonts w:hint="eastAsia"/>
                      <w:u w:val="none"/>
                      <w:lang w:val="en-US" w:eastAsia="zh-CN"/>
                    </w:rPr>
                    <w:t>火灾事故</w:t>
                  </w:r>
                  <w:r>
                    <w:rPr>
                      <w:rFonts w:hint="eastAsia"/>
                      <w:u w:val="none"/>
                    </w:rPr>
                    <w:t>应急预案演练记录</w:t>
                  </w:r>
                </w:p>
              </w:tc>
              <w:tc>
                <w:tcPr>
                  <w:tcW w:w="2110"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w:t>
            </w:r>
            <w:r>
              <w:rPr>
                <w:rFonts w:hint="eastAsia"/>
                <w:u w:val="single"/>
                <w:lang w:val="en-US" w:eastAsia="zh-CN"/>
              </w:rPr>
              <w:t>22.02.25</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restart"/>
            <w:shd w:val="clear" w:color="auto" w:fill="auto"/>
          </w:tcPr>
          <w:p>
            <w:r>
              <w:rPr>
                <w:rFonts w:hint="eastAsia"/>
              </w:rPr>
              <w:t>实施危害分析的预备步骤</w:t>
            </w:r>
          </w:p>
          <w:p/>
        </w:tc>
        <w:tc>
          <w:tcPr>
            <w:tcW w:w="994" w:type="dxa"/>
            <w:vMerge w:val="restart"/>
            <w:shd w:val="clear" w:color="auto" w:fill="auto"/>
          </w:tcPr>
          <w:p>
            <w:r>
              <w:rPr>
                <w:rFonts w:hint="eastAsia"/>
              </w:rPr>
              <w:t>F8.5.1</w:t>
            </w:r>
          </w:p>
          <w:p/>
        </w:tc>
        <w:tc>
          <w:tcPr>
            <w:tcW w:w="745" w:type="dxa"/>
            <w:gridSpan w:val="2"/>
            <w:shd w:val="clear" w:color="auto" w:fill="auto"/>
          </w:tcPr>
          <w:p>
            <w:r>
              <w:rPr>
                <w:rFonts w:hint="eastAsia"/>
              </w:rPr>
              <w:t>文件名称</w:t>
            </w:r>
          </w:p>
        </w:tc>
        <w:tc>
          <w:tcPr>
            <w:tcW w:w="9277" w:type="dxa"/>
            <w:gridSpan w:val="2"/>
            <w:shd w:val="clear" w:color="auto" w:fill="auto"/>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w:t>
            </w:r>
            <w:r>
              <w:rPr>
                <w:rFonts w:hint="eastAsia"/>
                <w:lang w:val="en-US" w:eastAsia="zh-CN"/>
              </w:rPr>
              <w:t>手册</w:t>
            </w:r>
            <w:r>
              <w:rPr>
                <w:rFonts w:hint="eastAsia" w:ascii="宋体" w:hAnsi="宋体"/>
                <w:lang w:eastAsia="zh-CN"/>
              </w:rPr>
              <w:t>》</w:t>
            </w:r>
            <w:r>
              <w:rPr>
                <w:rFonts w:hint="eastAsia"/>
                <w:lang w:val="en-US" w:eastAsia="zh-CN"/>
              </w:rPr>
              <w:t>8.1.4条款</w:t>
            </w:r>
          </w:p>
        </w:tc>
        <w:tc>
          <w:tcPr>
            <w:tcW w:w="1568"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867"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77"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Pr>
              <w:rPr>
                <w:rFonts w:hint="eastAsia"/>
                <w:lang w:val="en-US" w:eastAsia="zh-CN"/>
              </w:rPr>
            </w:pPr>
          </w:p>
          <w:p>
            <w:pPr>
              <w:rPr>
                <w:rFonts w:hint="eastAsia"/>
                <w:lang w:val="en-US" w:eastAsia="zh-CN"/>
              </w:rPr>
            </w:pPr>
            <w:r>
              <w:rPr>
                <w:rFonts w:hint="eastAsia"/>
                <w:lang w:val="en-US" w:eastAsia="zh-CN"/>
              </w:rPr>
              <w:t>企业提供的危害控制计划包含红薯淀粉、红薯粉丝、红薯粉条产品；结合经营实际情况以及审核范围，以红薯粉丝【实际为水晶粉丝，描述不准确，已现场沟通】、红薯粉条为审核内容；</w:t>
            </w:r>
          </w:p>
          <w:p>
            <w:pPr>
              <w:pStyle w:val="7"/>
              <w:rPr>
                <w:rFonts w:hint="default"/>
                <w:lang w:val="en-US" w:eastAsia="zh-CN"/>
              </w:rPr>
            </w:pP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淀粉</w:t>
            </w:r>
            <w:r>
              <w:rPr>
                <w:rFonts w:hint="eastAsia"/>
                <w:u w:val="single"/>
              </w:rPr>
              <w:t xml:space="preserve">                  </w:t>
            </w:r>
          </w:p>
          <w:p>
            <w:pPr>
              <w:rPr>
                <w:u w:val="single"/>
              </w:rPr>
            </w:pPr>
            <w:r>
              <w:rPr>
                <w:rFonts w:hint="eastAsia"/>
              </w:rPr>
              <w:t>食品添加剂：</w:t>
            </w:r>
            <w:r>
              <w:rPr>
                <w:rFonts w:hint="eastAsia"/>
                <w:u w:val="single"/>
              </w:rPr>
              <w:t xml:space="preserve">        无              </w:t>
            </w:r>
          </w:p>
          <w:p>
            <w:pPr>
              <w:rPr>
                <w:u w:val="single"/>
              </w:rPr>
            </w:pPr>
            <w:r>
              <w:rPr>
                <w:rFonts w:hint="eastAsia"/>
              </w:rPr>
              <w:t>辅助材料：</w:t>
            </w:r>
            <w:r>
              <w:rPr>
                <w:rFonts w:hint="eastAsia"/>
                <w:lang w:val="en-US" w:eastAsia="zh-CN"/>
              </w:rPr>
              <w:t xml:space="preserve">   </w:t>
            </w:r>
            <w:r>
              <w:rPr>
                <w:rFonts w:hint="eastAsia"/>
                <w:u w:val="single"/>
                <w:lang w:val="en-US" w:eastAsia="zh-CN"/>
              </w:rPr>
              <w:t>生产用水</w:t>
            </w:r>
            <w:r>
              <w:rPr>
                <w:rFonts w:hint="eastAsia"/>
                <w:u w:val="single"/>
              </w:rPr>
              <w:t xml:space="preserve">               </w:t>
            </w:r>
          </w:p>
          <w:p>
            <w:pPr>
              <w:rPr>
                <w:u w:val="single"/>
              </w:rPr>
            </w:pPr>
            <w:r>
              <w:rPr>
                <w:rFonts w:hint="eastAsia"/>
              </w:rPr>
              <w:t>包装材料</w:t>
            </w:r>
            <w:r>
              <w:rPr>
                <w:rFonts w:hint="eastAsia"/>
                <w:lang w:eastAsia="zh-CN"/>
              </w:rPr>
              <w:t>：</w:t>
            </w:r>
            <w:r>
              <w:rPr>
                <w:rFonts w:hint="eastAsia"/>
                <w:u w:val="single"/>
                <w:lang w:val="en-US" w:eastAsia="zh-CN"/>
              </w:rPr>
              <w:t>内包装袋、外纸箱等</w:t>
            </w:r>
            <w:r>
              <w:rPr>
                <w:rFonts w:hint="eastAsia"/>
                <w:u w:val="single"/>
              </w:rPr>
              <w:t xml:space="preserve">        </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红薯粉条、红薯粉丝（描述不准确，实际为水晶粉丝）</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大众</w:t>
            </w:r>
            <w:r>
              <w:rPr>
                <w:rFonts w:hint="eastAsia"/>
                <w:u w:val="single"/>
              </w:rPr>
              <w:t xml:space="preserve">        </w:t>
            </w:r>
          </w:p>
          <w:p/>
          <w:p>
            <w:pPr>
              <w:rPr>
                <w:rFonts w:hint="eastAsia" w:eastAsia="宋体"/>
                <w:u w:val="single"/>
                <w:lang w:val="en-US" w:eastAsia="zh-CN"/>
              </w:rPr>
            </w:pPr>
            <w:r>
              <w:rPr>
                <w:rFonts w:hint="eastAsia"/>
              </w:rPr>
              <w:t>确定已知特别容易受到特定食品安全危害易感的消费群体/使用者：</w:t>
            </w:r>
            <w:r>
              <w:rPr>
                <w:rFonts w:hint="eastAsia"/>
                <w:u w:val="single"/>
                <w:lang w:val="en-US" w:eastAsia="zh-CN"/>
              </w:rPr>
              <w:t>无</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未作描述，已现场沟通</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未作描述，已现场沟通</w:t>
            </w:r>
            <w:r>
              <w:rPr>
                <w:rFonts w:hint="eastAsia"/>
                <w:lang w:eastAsia="zh-CN"/>
              </w:rPr>
              <w:t>）</w:t>
            </w:r>
          </w:p>
          <w:p>
            <w:r>
              <w:rPr>
                <w:rFonts w:hint="eastAsia"/>
              </w:rPr>
              <w:sym w:font="Wingdings" w:char="00FE"/>
            </w:r>
            <w:r>
              <w:rPr>
                <w:rFonts w:hint="eastAsia"/>
              </w:rPr>
              <w:t xml:space="preserve"> 成品、中间产品和副产品放行点及废弃物的排放点</w:t>
            </w:r>
          </w:p>
          <w:p>
            <w:pPr>
              <w:rPr>
                <w:rFonts w:hint="default" w:eastAsia="宋体"/>
                <w:lang w:val="en-US" w:eastAsia="zh-CN"/>
              </w:rPr>
            </w:pPr>
            <w:r>
              <w:rPr>
                <w:rFonts w:hint="eastAsia"/>
                <w:lang w:val="en-US" w:eastAsia="zh-CN"/>
              </w:rPr>
              <w:t>一阶段问题：</w:t>
            </w:r>
            <w:r>
              <w:rPr>
                <w:rFonts w:hint="eastAsia"/>
                <w:color w:val="000000"/>
                <w:sz w:val="21"/>
                <w:szCs w:val="21"/>
                <w:lang w:val="en-US" w:eastAsia="zh-CN"/>
              </w:rPr>
              <w:t>危害控制</w:t>
            </w:r>
            <w:r>
              <w:rPr>
                <w:rFonts w:hint="eastAsia"/>
                <w:color w:val="000000"/>
                <w:sz w:val="21"/>
                <w:szCs w:val="21"/>
              </w:rPr>
              <w:t>计划中未体现制水过程</w:t>
            </w:r>
            <w:r>
              <w:rPr>
                <w:rFonts w:hint="eastAsia"/>
                <w:color w:val="000000"/>
                <w:sz w:val="21"/>
                <w:szCs w:val="21"/>
                <w:lang w:eastAsia="zh-CN"/>
              </w:rPr>
              <w:t>。</w:t>
            </w:r>
            <w:r>
              <w:rPr>
                <w:rFonts w:hint="eastAsia"/>
                <w:color w:val="000000"/>
                <w:sz w:val="21"/>
                <w:szCs w:val="21"/>
                <w:lang w:val="en-US" w:eastAsia="zh-CN"/>
              </w:rPr>
              <w:t>经验证已整改。</w:t>
            </w:r>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szCs w:val="21"/>
                <w:u w:val="single"/>
              </w:rPr>
              <w:t xml:space="preserve"> 202</w:t>
            </w:r>
            <w:r>
              <w:rPr>
                <w:rFonts w:hint="eastAsia"/>
                <w:szCs w:val="21"/>
                <w:u w:val="single"/>
                <w:lang w:val="en-US" w:eastAsia="zh-CN"/>
              </w:rPr>
              <w:t>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11</w:t>
            </w:r>
            <w:r>
              <w:rPr>
                <w:rFonts w:hint="eastAsia"/>
                <w:szCs w:val="21"/>
                <w:u w:val="single"/>
              </w:rPr>
              <w:t xml:space="preserve"> </w:t>
            </w:r>
            <w:r>
              <w:rPr>
                <w:rFonts w:hint="eastAsia"/>
                <w:szCs w:val="21"/>
              </w:rPr>
              <w:t>月</w:t>
            </w:r>
            <w:r>
              <w:rPr>
                <w:rFonts w:hint="eastAsia"/>
                <w:szCs w:val="21"/>
                <w:u w:val="single"/>
              </w:rPr>
              <w:t xml:space="preserve">  1</w:t>
            </w:r>
            <w:r>
              <w:rPr>
                <w:rFonts w:hint="eastAsia"/>
                <w:szCs w:val="21"/>
                <w:u w:val="single"/>
                <w:lang w:val="en-US" w:eastAsia="zh-CN"/>
              </w:rPr>
              <w:t>0</w:t>
            </w:r>
            <w:r>
              <w:rPr>
                <w:rFonts w:hint="eastAsia"/>
                <w:szCs w:val="21"/>
                <w:u w:val="single"/>
              </w:rPr>
              <w:t xml:space="preserve">  </w:t>
            </w:r>
            <w:r>
              <w:rPr>
                <w:rFonts w:hint="eastAsia"/>
                <w:szCs w:val="21"/>
              </w:rPr>
              <w:t>日</w:t>
            </w:r>
            <w:r>
              <w:rPr>
                <w:rFonts w:hint="eastAsia"/>
              </w:rPr>
              <w:t>在现场确认了流程图的准确性。</w:t>
            </w:r>
          </w:p>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33" w:hRule="atLeast"/>
        </w:trPr>
        <w:tc>
          <w:tcPr>
            <w:tcW w:w="2128" w:type="dxa"/>
            <w:gridSpan w:val="2"/>
            <w:vMerge w:val="continue"/>
            <w:shd w:val="clear" w:color="auto" w:fill="auto"/>
          </w:tcPr>
          <w:p/>
        </w:tc>
        <w:tc>
          <w:tcPr>
            <w:tcW w:w="994" w:type="dxa"/>
            <w:shd w:val="clear" w:color="auto" w:fill="auto"/>
          </w:tcPr>
          <w:p/>
        </w:tc>
        <w:tc>
          <w:tcPr>
            <w:tcW w:w="745" w:type="dxa"/>
            <w:gridSpan w:val="2"/>
            <w:shd w:val="clear" w:color="auto" w:fill="auto"/>
          </w:tcPr>
          <w:p/>
        </w:tc>
        <w:tc>
          <w:tcPr>
            <w:tcW w:w="9277"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numPr>
                <w:ilvl w:val="0"/>
                <w:numId w:val="2"/>
              </w:numPr>
            </w:pPr>
            <w:r>
              <w:rPr>
                <w:rFonts w:hint="eastAsia"/>
              </w:rPr>
              <w:t>加工设备及接触材料、加工助剂及材料流向；</w:t>
            </w:r>
          </w:p>
          <w:p>
            <w:pPr>
              <w:ind w:firstLine="420"/>
              <w:rPr>
                <w:highlight w:val="none"/>
              </w:rPr>
            </w:pPr>
            <w:r>
              <w:rPr>
                <w:rFonts w:hint="eastAsia"/>
                <w:highlight w:val="none"/>
              </w:rPr>
              <w:t xml:space="preserve">  </w:t>
            </w:r>
            <w:r>
              <w:rPr>
                <w:rFonts w:hint="eastAsia"/>
                <w:highlight w:val="none"/>
              </w:rPr>
              <w:sym w:font="Wingdings" w:char="00FE"/>
            </w:r>
            <w:r>
              <w:rPr>
                <w:rFonts w:hint="eastAsia"/>
                <w:highlight w:val="none"/>
              </w:rPr>
              <w:t xml:space="preserve"> 车间平面图（含设备布局）（包括：</w:t>
            </w:r>
            <w:r>
              <w:rPr>
                <w:rFonts w:hint="eastAsia"/>
                <w:highlight w:val="none"/>
              </w:rPr>
              <w:sym w:font="Wingdings" w:char="00A8"/>
            </w:r>
            <w:r>
              <w:rPr>
                <w:rFonts w:hint="eastAsia"/>
                <w:highlight w:val="none"/>
              </w:rPr>
              <w:t>清洁区，</w:t>
            </w:r>
            <w:r>
              <w:rPr>
                <w:rFonts w:hint="eastAsia"/>
                <w:highlight w:val="none"/>
              </w:rPr>
              <w:sym w:font="Wingdings" w:char="00A8"/>
            </w:r>
            <w:r>
              <w:rPr>
                <w:rFonts w:hint="eastAsia"/>
                <w:highlight w:val="none"/>
              </w:rPr>
              <w:t>准清洁区，</w:t>
            </w:r>
            <w:r>
              <w:rPr>
                <w:rFonts w:hint="eastAsia"/>
                <w:highlight w:val="none"/>
              </w:rPr>
              <w:sym w:font="Wingdings" w:char="00FE"/>
            </w:r>
            <w:r>
              <w:rPr>
                <w:rFonts w:hint="eastAsia"/>
                <w:highlight w:val="none"/>
              </w:rPr>
              <w:t>一般清洁区）</w:t>
            </w:r>
          </w:p>
          <w:p>
            <w:pPr>
              <w:ind w:firstLine="630" w:firstLineChars="300"/>
              <w:rPr>
                <w:highlight w:val="none"/>
              </w:rPr>
            </w:pPr>
            <w:r>
              <w:rPr>
                <w:rFonts w:hint="eastAsia"/>
                <w:highlight w:val="none"/>
              </w:rPr>
              <w:sym w:font="Wingdings" w:char="00FE"/>
            </w:r>
            <w:r>
              <w:rPr>
                <w:rFonts w:hint="eastAsia"/>
                <w:highlight w:val="none"/>
              </w:rPr>
              <w:t>工艺流程图（含循环点</w:t>
            </w:r>
            <w:r>
              <w:rPr>
                <w:rFonts w:hint="eastAsia"/>
                <w:lang w:eastAsia="zh-CN"/>
              </w:rPr>
              <w:t>（</w:t>
            </w:r>
            <w:r>
              <w:rPr>
                <w:rFonts w:hint="eastAsia"/>
                <w:lang w:val="en-US" w:eastAsia="zh-CN"/>
              </w:rPr>
              <w:t>未作描述，已现场沟通</w:t>
            </w:r>
            <w:r>
              <w:rPr>
                <w:rFonts w:hint="eastAsia"/>
                <w:lang w:eastAsia="zh-CN"/>
              </w:rPr>
              <w:t>）</w:t>
            </w:r>
            <w:r>
              <w:rPr>
                <w:rFonts w:hint="eastAsia"/>
                <w:highlight w:val="none"/>
              </w:rPr>
              <w:t>、返工</w:t>
            </w:r>
            <w:r>
              <w:rPr>
                <w:rFonts w:hint="eastAsia"/>
                <w:lang w:eastAsia="zh-CN"/>
              </w:rPr>
              <w:t>（</w:t>
            </w:r>
            <w:r>
              <w:rPr>
                <w:rFonts w:hint="eastAsia"/>
                <w:lang w:val="en-US" w:eastAsia="zh-CN"/>
              </w:rPr>
              <w:t>未作描述，已现场沟通</w:t>
            </w:r>
            <w:r>
              <w:rPr>
                <w:rFonts w:hint="eastAsia"/>
                <w:lang w:eastAsia="zh-CN"/>
              </w:rPr>
              <w:t>）</w:t>
            </w:r>
            <w:r>
              <w:rPr>
                <w:rFonts w:hint="eastAsia"/>
                <w:highlight w:val="none"/>
              </w:rPr>
              <w:t>、物料进入、废料排出、外包</w:t>
            </w:r>
            <w:r>
              <w:rPr>
                <w:rFonts w:hint="eastAsia"/>
                <w:lang w:eastAsia="zh-CN"/>
              </w:rPr>
              <w:t>（</w:t>
            </w:r>
            <w:r>
              <w:rPr>
                <w:rFonts w:hint="eastAsia"/>
                <w:lang w:val="en-US" w:eastAsia="zh-CN"/>
              </w:rPr>
              <w:t>未作描述，已现场沟通</w:t>
            </w:r>
            <w:r>
              <w:rPr>
                <w:rFonts w:hint="eastAsia"/>
                <w:lang w:eastAsia="zh-CN"/>
              </w:rPr>
              <w:t>）</w:t>
            </w:r>
            <w:r>
              <w:rPr>
                <w:rFonts w:hint="eastAsia"/>
                <w:highlight w:val="none"/>
              </w:rPr>
              <w:t>等）</w:t>
            </w:r>
          </w:p>
          <w:p>
            <w:pPr>
              <w:ind w:firstLine="630" w:firstLineChars="300"/>
              <w:rPr>
                <w:highlight w:val="none"/>
              </w:rPr>
            </w:pPr>
            <w:r>
              <w:rPr>
                <w:rFonts w:hint="eastAsia"/>
                <w:highlight w:val="none"/>
              </w:rPr>
              <w:sym w:font="Wingdings" w:char="00FE"/>
            </w:r>
            <w:r>
              <w:rPr>
                <w:rFonts w:hint="eastAsia"/>
                <w:highlight w:val="none"/>
              </w:rPr>
              <w:t>人流图，</w:t>
            </w:r>
            <w:r>
              <w:rPr>
                <w:rFonts w:hint="eastAsia"/>
                <w:highlight w:val="none"/>
              </w:rPr>
              <w:sym w:font="Wingdings" w:char="00A8"/>
            </w:r>
            <w:r>
              <w:rPr>
                <w:rFonts w:hint="eastAsia"/>
                <w:highlight w:val="none"/>
              </w:rPr>
              <w:t>气流图，</w:t>
            </w:r>
            <w:r>
              <w:rPr>
                <w:rFonts w:hint="eastAsia"/>
                <w:highlight w:val="none"/>
              </w:rPr>
              <w:sym w:font="Wingdings" w:char="00A8"/>
            </w:r>
            <w:r>
              <w:rPr>
                <w:rFonts w:hint="eastAsia"/>
                <w:highlight w:val="none"/>
              </w:rPr>
              <w:t>水流图，</w:t>
            </w:r>
            <w:r>
              <w:rPr>
                <w:rFonts w:hint="eastAsia"/>
                <w:highlight w:val="none"/>
              </w:rPr>
              <w:sym w:font="Wingdings" w:char="00FE"/>
            </w:r>
            <w:r>
              <w:rPr>
                <w:rFonts w:hint="eastAsia"/>
                <w:highlight w:val="none"/>
              </w:rPr>
              <w:t>物流图 ，</w:t>
            </w:r>
            <w:r>
              <w:rPr>
                <w:rFonts w:hint="eastAsia"/>
                <w:highlight w:val="none"/>
              </w:rPr>
              <w:sym w:font="Wingdings" w:char="00FE"/>
            </w:r>
            <w:r>
              <w:rPr>
                <w:rFonts w:hint="eastAsia"/>
                <w:highlight w:val="none"/>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A8"/>
            </w:r>
            <w:r>
              <w:rPr>
                <w:rFonts w:hint="eastAsia"/>
              </w:rPr>
              <w:t xml:space="preserve">单班  </w:t>
            </w:r>
            <w:r>
              <w:rPr>
                <w:rFonts w:hint="eastAsia"/>
              </w:rPr>
              <w:sym w:font="Wingdings" w:char="00FE"/>
            </w:r>
            <w:r>
              <w:rPr>
                <w:rFonts w:hint="eastAsia"/>
              </w:rPr>
              <w:t>多班次，说明：</w:t>
            </w:r>
            <w:r>
              <w:rPr>
                <w:rFonts w:hint="eastAsia"/>
                <w:u w:val="single"/>
              </w:rPr>
              <w:t xml:space="preserve"> </w:t>
            </w:r>
            <w:r>
              <w:rPr>
                <w:rFonts w:hint="eastAsia"/>
                <w:u w:val="single"/>
                <w:lang w:val="en-US" w:eastAsia="zh-CN"/>
              </w:rPr>
              <w:t>5:00-17:00</w:t>
            </w:r>
            <w:r>
              <w:rPr>
                <w:rFonts w:hint="eastAsia"/>
                <w:u w:val="single"/>
              </w:rPr>
              <w:t xml:space="preserve"> </w:t>
            </w:r>
            <w:r>
              <w:rPr>
                <w:rFonts w:hint="eastAsia"/>
                <w:u w:val="single"/>
                <w:lang w:eastAsia="zh-CN"/>
              </w:rPr>
              <w:t>（</w:t>
            </w:r>
            <w:r>
              <w:rPr>
                <w:rFonts w:hint="eastAsia"/>
                <w:u w:val="single"/>
                <w:lang w:val="en-US" w:eastAsia="zh-CN"/>
              </w:rPr>
              <w:t>中午10:30 换班</w:t>
            </w:r>
            <w:r>
              <w:rPr>
                <w:rFonts w:hint="eastAsia"/>
                <w:u w:val="single"/>
                <w:lang w:eastAsia="zh-CN"/>
              </w:rPr>
              <w:t>）</w:t>
            </w:r>
            <w:r>
              <w:rPr>
                <w:rFonts w:hint="eastAsia"/>
                <w:u w:val="single"/>
              </w:rPr>
              <w:t xml:space="preserve">  </w:t>
            </w:r>
          </w:p>
          <w:p/>
        </w:tc>
        <w:tc>
          <w:tcPr>
            <w:tcW w:w="1568" w:type="dxa"/>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restart"/>
            <w:shd w:val="clear" w:color="auto" w:fill="auto"/>
          </w:tcPr>
          <w:p>
            <w:r>
              <w:rPr>
                <w:rFonts w:hint="eastAsia"/>
              </w:rPr>
              <w:t>危害分析</w:t>
            </w:r>
          </w:p>
        </w:tc>
        <w:tc>
          <w:tcPr>
            <w:tcW w:w="994" w:type="dxa"/>
            <w:vMerge w:val="restart"/>
            <w:shd w:val="clear" w:color="auto" w:fill="auto"/>
          </w:tcPr>
          <w:p>
            <w:r>
              <w:rPr>
                <w:rFonts w:hint="eastAsia"/>
              </w:rPr>
              <w:t>F8.5.2</w:t>
            </w:r>
          </w:p>
          <w:p/>
        </w:tc>
        <w:tc>
          <w:tcPr>
            <w:tcW w:w="745" w:type="dxa"/>
            <w:gridSpan w:val="2"/>
            <w:shd w:val="clear" w:color="auto" w:fill="auto"/>
          </w:tcPr>
          <w:p>
            <w:r>
              <w:rPr>
                <w:rFonts w:hint="eastAsia"/>
              </w:rPr>
              <w:t>文件名称</w:t>
            </w:r>
          </w:p>
        </w:tc>
        <w:tc>
          <w:tcPr>
            <w:tcW w:w="9277" w:type="dxa"/>
            <w:gridSpan w:val="2"/>
            <w:shd w:val="clear" w:color="auto" w:fill="auto"/>
          </w:tcPr>
          <w:p>
            <w:r>
              <w:rPr>
                <w:rFonts w:hint="eastAsia"/>
              </w:rPr>
              <w:t>如：</w:t>
            </w:r>
            <w:r>
              <w:rPr>
                <w:rFonts w:hint="eastAsia"/>
              </w:rPr>
              <w:sym w:font="Wingdings" w:char="00FE"/>
            </w:r>
            <w:r>
              <w:rPr>
                <w:rFonts w:hint="eastAsia" w:ascii="宋体" w:hAnsi="宋体"/>
                <w:lang w:eastAsia="zh-CN"/>
              </w:rPr>
              <w:t>《</w:t>
            </w:r>
            <w:r>
              <w:rPr>
                <w:rFonts w:hint="eastAsia" w:ascii="宋体" w:hAnsi="宋体"/>
                <w:lang w:val="en-US" w:eastAsia="zh-CN"/>
              </w:rPr>
              <w:t>质量和食品安全管理</w:t>
            </w:r>
            <w:r>
              <w:rPr>
                <w:rFonts w:hint="eastAsia"/>
                <w:lang w:val="en-US" w:eastAsia="zh-CN"/>
              </w:rPr>
              <w:t>手册</w:t>
            </w:r>
            <w:r>
              <w:rPr>
                <w:rFonts w:hint="eastAsia" w:ascii="宋体" w:hAnsi="宋体"/>
                <w:lang w:eastAsia="zh-CN"/>
              </w:rPr>
              <w:t>》</w:t>
            </w:r>
            <w:r>
              <w:rPr>
                <w:rFonts w:hint="eastAsia"/>
                <w:lang w:val="en-US" w:eastAsia="zh-CN"/>
              </w:rPr>
              <w:t>8.1.5条款、</w:t>
            </w:r>
            <w:r>
              <w:rPr>
                <w:rFonts w:hint="eastAsia"/>
              </w:rPr>
              <w:sym w:font="Wingdings" w:char="00FE"/>
            </w:r>
            <w:r>
              <w:rPr>
                <w:rFonts w:hint="eastAsia"/>
              </w:rPr>
              <w:t>《</w:t>
            </w:r>
            <w:r>
              <w:rPr>
                <w:rFonts w:hint="eastAsia"/>
                <w:lang w:val="en-US" w:eastAsia="zh-CN"/>
              </w:rPr>
              <w:t>危害控制计划</w:t>
            </w:r>
            <w:r>
              <w:rPr>
                <w:rFonts w:hint="eastAsia"/>
              </w:rPr>
              <w:t>》</w:t>
            </w:r>
          </w:p>
        </w:tc>
        <w:tc>
          <w:tcPr>
            <w:tcW w:w="15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309"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77" w:type="dxa"/>
            <w:gridSpan w:val="2"/>
            <w:shd w:val="clear" w:color="auto" w:fill="auto"/>
          </w:tcPr>
          <w:p>
            <w:r>
              <w:rPr>
                <w:rFonts w:hint="eastAsia"/>
              </w:rPr>
              <w:t>食品安全小组于</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1</w:t>
            </w:r>
            <w:r>
              <w:rPr>
                <w:rFonts w:hint="eastAsia"/>
                <w:u w:val="single"/>
                <w:lang w:val="en-US" w:eastAsia="zh-CN"/>
              </w:rPr>
              <w:t xml:space="preserve">0 </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有毒有害种子</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FE"/>
            </w:r>
            <w:r>
              <w:rPr>
                <w:rFonts w:hint="eastAsia"/>
              </w:rPr>
              <w:t>大肠杆菌</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79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2305" w:type="dxa"/>
                  <w:shd w:val="clear" w:color="auto" w:fill="auto"/>
                  <w:vAlign w:val="center"/>
                </w:tcPr>
                <w:p>
                  <w:pPr>
                    <w:autoSpaceDE w:val="0"/>
                    <w:autoSpaceDN w:val="0"/>
                    <w:adjustRightInd w:val="0"/>
                    <w:jc w:val="center"/>
                    <w:rPr>
                      <w:rFonts w:hint="eastAsia" w:eastAsia="宋体"/>
                      <w:bCs/>
                      <w:lang w:val="en-GB" w:eastAsia="zh-CN"/>
                    </w:rPr>
                  </w:pPr>
                  <w:r>
                    <w:rPr>
                      <w:rFonts w:hint="eastAsia"/>
                      <w:bCs/>
                      <w:lang w:val="en-US" w:eastAsia="zh-CN"/>
                    </w:rPr>
                    <w:t>淀粉</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796" w:type="dxa"/>
                  <w:shd w:val="clear" w:color="auto" w:fill="auto"/>
                  <w:vAlign w:val="center"/>
                </w:tcPr>
                <w:p>
                  <w:pPr>
                    <w:autoSpaceDE w:val="0"/>
                    <w:autoSpaceDN w:val="0"/>
                    <w:adjustRightInd w:val="0"/>
                    <w:jc w:val="center"/>
                    <w:rPr>
                      <w:rFonts w:hint="eastAsia" w:eastAsia="宋体"/>
                      <w:bCs/>
                      <w:lang w:eastAsia="zh-CN"/>
                    </w:rPr>
                  </w:pPr>
                  <w:r>
                    <w:rPr>
                      <w:rFonts w:hint="eastAsia"/>
                    </w:rPr>
                    <w:sym w:font="Wingdings" w:char="00FE"/>
                  </w:r>
                  <w:r>
                    <w:rPr>
                      <w:rFonts w:hint="eastAsia"/>
                      <w:bCs/>
                    </w:rPr>
                    <w:t>向供方索取检测报告</w:t>
                  </w:r>
                </w:p>
                <w:p>
                  <w:pPr>
                    <w:autoSpaceDE w:val="0"/>
                    <w:autoSpaceDN w:val="0"/>
                    <w:adjustRightInd w:val="0"/>
                    <w:jc w:val="center"/>
                    <w:rPr>
                      <w:rFonts w:hint="eastAsia" w:eastAsia="宋体"/>
                      <w:bCs/>
                      <w:lang w:eastAsia="zh-CN"/>
                    </w:rPr>
                  </w:pPr>
                  <w:r>
                    <w:rPr>
                      <w:rFonts w:hint="eastAsia"/>
                      <w:bCs/>
                    </w:rPr>
                    <w:sym w:font="Wingdings" w:char="00FE"/>
                  </w:r>
                  <w:r>
                    <w:rPr>
                      <w:rFonts w:hint="eastAsia"/>
                      <w:bCs/>
                    </w:rPr>
                    <w:t>企业自行检测</w:t>
                  </w:r>
                </w:p>
                <w:p>
                  <w:pPr>
                    <w:autoSpaceDE w:val="0"/>
                    <w:autoSpaceDN w:val="0"/>
                    <w:adjustRightInd w:val="0"/>
                    <w:jc w:val="center"/>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jc w:val="center"/>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jc w:val="cente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7"/>
                    <w:rPr>
                      <w:lang w:val="en-GB"/>
                    </w:rPr>
                  </w:pPr>
                </w:p>
              </w:tc>
              <w:tc>
                <w:tcPr>
                  <w:tcW w:w="379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rFonts w:hint="eastAsia" w:eastAsia="宋体"/>
                      <w:bCs/>
                      <w:lang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氯化物含量、PH值</w:t>
                  </w:r>
                  <w:r>
                    <w:rPr>
                      <w:rFonts w:hint="eastAsia"/>
                      <w:bCs/>
                      <w:lang w:eastAsia="zh-CN"/>
                    </w:rPr>
                    <w:t>）</w:t>
                  </w:r>
                </w:p>
                <w:p>
                  <w:pPr>
                    <w:autoSpaceDE w:val="0"/>
                    <w:autoSpaceDN w:val="0"/>
                    <w:adjustRightInd w:val="0"/>
                    <w:jc w:val="center"/>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eastAsia="宋体"/>
                      <w:bCs/>
                      <w:highlight w:val="none"/>
                      <w:lang w:val="en-US" w:eastAsia="zh-CN"/>
                    </w:rPr>
                  </w:pPr>
                  <w:r>
                    <w:rPr>
                      <w:rFonts w:hint="default" w:eastAsia="宋体"/>
                      <w:bCs/>
                      <w:highlight w:val="none"/>
                      <w:lang w:val="en-US" w:eastAsia="zh-CN"/>
                    </w:rPr>
                    <w:t>复合包装袋</w:t>
                  </w:r>
                </w:p>
              </w:tc>
              <w:tc>
                <w:tcPr>
                  <w:tcW w:w="2905" w:type="dxa"/>
                  <w:shd w:val="clear" w:color="auto" w:fill="auto"/>
                  <w:vAlign w:val="center"/>
                </w:tcPr>
                <w:p>
                  <w:pPr>
                    <w:ind w:firstLine="210" w:firstLineChars="100"/>
                    <w:jc w:val="both"/>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ind w:firstLine="210" w:firstLineChars="100"/>
                    <w:rPr>
                      <w:lang w:val="en-GB"/>
                    </w:rPr>
                  </w:pPr>
                  <w:r>
                    <w:rPr>
                      <w:rFonts w:hint="eastAsia"/>
                    </w:rPr>
                    <w:sym w:font="Wingdings" w:char="00FE"/>
                  </w:r>
                  <w:r>
                    <w:rPr>
                      <w:rFonts w:hint="eastAsia"/>
                      <w:lang w:val="en-US" w:eastAsia="zh-CN"/>
                    </w:rPr>
                    <w:t xml:space="preserve">溶剂残留   </w:t>
                  </w:r>
                  <w:r>
                    <w:rPr>
                      <w:rFonts w:hint="eastAsia"/>
                    </w:rPr>
                    <w:sym w:font="Wingdings" w:char="00A8"/>
                  </w:r>
                  <w:r>
                    <w:rPr>
                      <w:rFonts w:hint="eastAsia"/>
                      <w:lang w:val="en-GB"/>
                    </w:rPr>
                    <w:t>苯并芘</w:t>
                  </w:r>
                </w:p>
                <w:p>
                  <w:pPr>
                    <w:jc w:val="cente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7"/>
                    <w:ind w:left="0" w:leftChars="0" w:firstLine="0" w:firstLineChars="0"/>
                    <w:rPr>
                      <w:rFonts w:hint="default" w:eastAsia="宋体"/>
                      <w:lang w:val="en-US" w:eastAsia="zh-CN"/>
                    </w:rPr>
                  </w:pPr>
                  <w:r>
                    <w:rPr>
                      <w:rFonts w:hint="eastAsia"/>
                    </w:rPr>
                    <w:sym w:font="Wingdings" w:char="00FE"/>
                  </w:r>
                  <w:r>
                    <w:rPr>
                      <w:rFonts w:hint="eastAsia"/>
                      <w:bCs/>
                      <w:highlight w:val="none"/>
                      <w:lang w:val="en-US" w:eastAsia="zh-CN"/>
                    </w:rPr>
                    <w:t xml:space="preserve">脱色试验 </w:t>
                  </w:r>
                  <w:r>
                    <w:rPr>
                      <w:rFonts w:hint="eastAsia"/>
                    </w:rPr>
                    <w:sym w:font="Wingdings" w:char="00FE"/>
                  </w:r>
                  <w:r>
                    <w:rPr>
                      <w:rFonts w:hint="eastAsia"/>
                      <w:bCs/>
                      <w:highlight w:val="none"/>
                      <w:lang w:val="en-US" w:eastAsia="zh-CN"/>
                    </w:rPr>
                    <w:t>高锰酸钾消耗量</w:t>
                  </w:r>
                </w:p>
              </w:tc>
              <w:tc>
                <w:tcPr>
                  <w:tcW w:w="3796" w:type="dxa"/>
                  <w:shd w:val="clear" w:color="auto" w:fill="auto"/>
                  <w:vAlign w:val="center"/>
                </w:tcPr>
                <w:p>
                  <w:pPr>
                    <w:autoSpaceDE w:val="0"/>
                    <w:autoSpaceDN w:val="0"/>
                    <w:adjustRightInd w:val="0"/>
                    <w:jc w:val="center"/>
                    <w:rPr>
                      <w:bCs/>
                      <w:highlight w:val="none"/>
                    </w:rPr>
                  </w:pPr>
                  <w:r>
                    <w:rPr>
                      <w:rFonts w:hint="eastAsia"/>
                      <w:highlight w:val="none"/>
                    </w:rPr>
                    <w:sym w:font="Wingdings" w:char="00FE"/>
                  </w:r>
                  <w:r>
                    <w:rPr>
                      <w:rFonts w:hint="eastAsia"/>
                      <w:bCs/>
                      <w:highlight w:val="none"/>
                    </w:rPr>
                    <w:t>向供方索取检测报告</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企业自行检测</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5" w:type="dxa"/>
                  <w:shd w:val="clear" w:color="auto" w:fill="auto"/>
                  <w:vAlign w:val="center"/>
                </w:tcPr>
                <w:p>
                  <w:pPr>
                    <w:autoSpaceDE w:val="0"/>
                    <w:autoSpaceDN w:val="0"/>
                    <w:adjustRightInd w:val="0"/>
                    <w:jc w:val="center"/>
                    <w:rPr>
                      <w:rFonts w:hint="default" w:eastAsia="宋体"/>
                      <w:bCs/>
                      <w:lang w:val="en-US" w:eastAsia="zh-CN"/>
                    </w:rPr>
                  </w:pPr>
                  <w:r>
                    <w:rPr>
                      <w:rFonts w:hint="default" w:eastAsia="宋体"/>
                      <w:bCs/>
                      <w:lang w:val="en-US" w:eastAsia="zh-CN"/>
                    </w:rPr>
                    <w:t>塑料周转箱、输送带</w:t>
                  </w:r>
                  <w:r>
                    <w:rPr>
                      <w:rFonts w:hint="eastAsia"/>
                      <w:bCs/>
                      <w:lang w:val="en-US" w:eastAsia="zh-CN"/>
                    </w:rPr>
                    <w:t>等</w:t>
                  </w:r>
                </w:p>
              </w:tc>
              <w:tc>
                <w:tcPr>
                  <w:tcW w:w="2905" w:type="dxa"/>
                  <w:shd w:val="clear" w:color="auto" w:fill="auto"/>
                  <w:vAlign w:val="center"/>
                </w:tcPr>
                <w:p>
                  <w:pPr>
                    <w:jc w:val="center"/>
                    <w:rPr>
                      <w:bCs/>
                    </w:rPr>
                  </w:pPr>
                  <w:r>
                    <w:rPr>
                      <w:rFonts w:hint="eastAsia"/>
                      <w:bCs/>
                    </w:rPr>
                    <w:t>色泽正常，无异臭，不洁物等</w:t>
                  </w:r>
                </w:p>
              </w:tc>
              <w:tc>
                <w:tcPr>
                  <w:tcW w:w="3796" w:type="dxa"/>
                  <w:shd w:val="clear" w:color="auto" w:fill="auto"/>
                  <w:vAlign w:val="center"/>
                </w:tcPr>
                <w:p>
                  <w:pPr>
                    <w:autoSpaceDE w:val="0"/>
                    <w:autoSpaceDN w:val="0"/>
                    <w:adjustRightInd w:val="0"/>
                    <w:jc w:val="center"/>
                  </w:pPr>
                  <w:r>
                    <w:rPr>
                      <w:rFonts w:hint="eastAsia"/>
                    </w:rPr>
                    <w:t>清洗消毒后使用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autoSpaceDE w:val="0"/>
                    <w:autoSpaceDN w:val="0"/>
                    <w:adjustRightInd w:val="0"/>
                    <w:jc w:val="center"/>
                    <w:rPr>
                      <w:rFonts w:hint="eastAsia" w:eastAsia="宋体"/>
                      <w:bCs/>
                      <w:lang w:val="en-GB" w:eastAsia="zh-CN"/>
                    </w:rPr>
                  </w:pPr>
                  <w:r>
                    <w:rPr>
                      <w:rFonts w:hint="eastAsia" w:eastAsia="宋体"/>
                      <w:bCs/>
                      <w:lang w:val="en-GB" w:eastAsia="zh-CN"/>
                    </w:rPr>
                    <w:t>不锈钢制品</w:t>
                  </w:r>
                </w:p>
              </w:tc>
              <w:tc>
                <w:tcPr>
                  <w:tcW w:w="2905" w:type="dxa"/>
                  <w:shd w:val="clear" w:color="auto" w:fill="auto"/>
                  <w:vAlign w:val="center"/>
                </w:tcPr>
                <w:p>
                  <w:pPr>
                    <w:ind w:firstLine="210" w:firstLineChars="100"/>
                    <w:jc w:val="both"/>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ind w:firstLine="210" w:firstLineChars="100"/>
                    <w:rPr>
                      <w:lang w:val="en-GB"/>
                    </w:rPr>
                  </w:pPr>
                  <w:r>
                    <w:rPr>
                      <w:rFonts w:hint="eastAsia"/>
                    </w:rPr>
                    <w:sym w:font="Wingdings" w:char="00FE"/>
                  </w:r>
                  <w:r>
                    <w:rPr>
                      <w:rFonts w:hint="eastAsia"/>
                      <w:lang w:val="en-US" w:eastAsia="zh-CN"/>
                    </w:rPr>
                    <w:t xml:space="preserve">溶剂残留   </w:t>
                  </w:r>
                  <w:r>
                    <w:rPr>
                      <w:rFonts w:hint="eastAsia"/>
                    </w:rPr>
                    <w:sym w:font="Wingdings" w:char="00A8"/>
                  </w:r>
                  <w:r>
                    <w:rPr>
                      <w:rFonts w:hint="eastAsia"/>
                      <w:lang w:val="en-GB"/>
                    </w:rPr>
                    <w:t>苯并芘</w:t>
                  </w:r>
                </w:p>
                <w:p>
                  <w:pPr>
                    <w:jc w:val="center"/>
                    <w:rPr>
                      <w:rFonts w:hint="default" w:ascii="宋体" w:hAnsi="宋体" w:eastAsia="宋体" w:cs="Times New Roman"/>
                      <w:kern w:val="2"/>
                      <w:sz w:val="21"/>
                      <w:szCs w:val="24"/>
                      <w:lang w:val="en-GB" w:eastAsia="zh-CN" w:bidi="ar-SA"/>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tc>
              <w:tc>
                <w:tcPr>
                  <w:tcW w:w="3796" w:type="dxa"/>
                  <w:shd w:val="clear" w:color="auto" w:fill="auto"/>
                  <w:vAlign w:val="center"/>
                </w:tcPr>
                <w:p>
                  <w:pPr>
                    <w:autoSpaceDE w:val="0"/>
                    <w:autoSpaceDN w:val="0"/>
                    <w:adjustRightInd w:val="0"/>
                    <w:jc w:val="center"/>
                  </w:pPr>
                  <w:r>
                    <w:rPr>
                      <w:rFonts w:hint="eastAsia"/>
                    </w:rPr>
                    <w:sym w:font="Wingdings" w:char="00FE"/>
                  </w:r>
                  <w:r>
                    <w:rPr>
                      <w:rFonts w:hint="eastAsia"/>
                    </w:rPr>
                    <w:t>向供方索取检测报告</w:t>
                  </w:r>
                </w:p>
                <w:p>
                  <w:pPr>
                    <w:autoSpaceDE w:val="0"/>
                    <w:autoSpaceDN w:val="0"/>
                    <w:adjustRightInd w:val="0"/>
                    <w:jc w:val="center"/>
                  </w:pPr>
                  <w:r>
                    <w:rPr>
                      <w:rFonts w:hint="eastAsia"/>
                    </w:rPr>
                    <w:sym w:font="Wingdings" w:char="00A8"/>
                  </w:r>
                  <w:r>
                    <w:rPr>
                      <w:rFonts w:hint="eastAsia"/>
                    </w:rPr>
                    <w:t>企业自行检测</w:t>
                  </w:r>
                </w:p>
                <w:p>
                  <w:pPr>
                    <w:autoSpaceDE w:val="0"/>
                    <w:autoSpaceDN w:val="0"/>
                    <w:adjustRightInd w:val="0"/>
                    <w:jc w:val="center"/>
                    <w:rPr>
                      <w:rFonts w:hint="eastAsia"/>
                    </w:rPr>
                  </w:pPr>
                  <w:r>
                    <w:rPr>
                      <w:rFonts w:hint="eastAsia"/>
                    </w:rPr>
                    <w:sym w:font="Wingdings" w:char="00A8"/>
                  </w:r>
                  <w:r>
                    <w:rPr>
                      <w:rFonts w:hint="eastAsia"/>
                    </w:rPr>
                    <w:t>第三方检测报告</w:t>
                  </w:r>
                </w:p>
                <w:p>
                  <w:pPr>
                    <w:pStyle w:val="7"/>
                    <w:rPr>
                      <w:lang w:val="en-US" w:eastAsia="zh-CN"/>
                    </w:rPr>
                  </w:pPr>
                  <w:r>
                    <w:rPr>
                      <w:rFonts w:hint="eastAsia"/>
                    </w:rPr>
                    <w:sym w:font="Wingdings" w:char="00FE"/>
                  </w:r>
                  <w:r>
                    <w:rPr>
                      <w:rFonts w:hint="eastAsia"/>
                      <w:lang w:val="en-US" w:eastAsia="zh-CN"/>
                    </w:rPr>
                    <w:t>从合格供方采购、</w:t>
                  </w:r>
                  <w:r>
                    <w:rPr>
                      <w:rFonts w:hint="eastAsia"/>
                    </w:rPr>
                    <w:t>清洗消毒后使用</w:t>
                  </w:r>
                </w:p>
              </w:tc>
            </w:tr>
          </w:tbl>
          <w:p>
            <w:pPr>
              <w:rPr>
                <w:bCs/>
              </w:rPr>
            </w:pPr>
          </w:p>
          <w:p>
            <w:pPr>
              <w:tabs>
                <w:tab w:val="right" w:pos="3119"/>
              </w:tabs>
              <w:rPr>
                <w:b/>
              </w:rPr>
            </w:pPr>
            <w:r>
              <w:rPr>
                <w:rFonts w:hint="eastAsia"/>
                <w:b/>
              </w:rPr>
              <w:t>最终产品危害分析：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center"/>
                </w:tcPr>
                <w:p>
                  <w:pPr>
                    <w:jc w:val="center"/>
                    <w:rPr>
                      <w:bCs/>
                      <w:lang w:val="en-GB"/>
                    </w:rPr>
                  </w:pPr>
                  <w:r>
                    <w:rPr>
                      <w:rFonts w:hint="eastAsia"/>
                      <w:bCs/>
                      <w:lang w:val="en-GB"/>
                    </w:rPr>
                    <w:t>潜在危害</w:t>
                  </w:r>
                </w:p>
              </w:tc>
              <w:tc>
                <w:tcPr>
                  <w:tcW w:w="3665" w:type="dxa"/>
                  <w:shd w:val="clear" w:color="auto" w:fill="auto"/>
                  <w:vAlign w:val="center"/>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GB" w:eastAsia="zh-CN"/>
                    </w:rPr>
                  </w:pPr>
                  <w:r>
                    <w:rPr>
                      <w:rFonts w:hint="eastAsia" w:eastAsia="宋体"/>
                      <w:bCs/>
                      <w:lang w:val="en-GB" w:eastAsia="zh-CN"/>
                    </w:rPr>
                    <w:t>红薯粉条</w:t>
                  </w:r>
                  <w:r>
                    <w:rPr>
                      <w:rFonts w:hint="eastAsia"/>
                      <w:bCs/>
                      <w:lang w:val="en-US" w:eastAsia="zh-CN"/>
                    </w:rPr>
                    <w:t>/</w:t>
                  </w:r>
                  <w:r>
                    <w:rPr>
                      <w:rFonts w:hint="eastAsia" w:eastAsia="宋体"/>
                      <w:bCs/>
                      <w:lang w:val="en-GB" w:eastAsia="zh-CN"/>
                    </w:rPr>
                    <w:t>粉丝</w:t>
                  </w:r>
                  <w:r>
                    <w:rPr>
                      <w:rFonts w:hint="eastAsia"/>
                      <w:bCs/>
                      <w:lang w:val="en-GB" w:eastAsia="zh-CN"/>
                    </w:rPr>
                    <w:t>（</w:t>
                  </w:r>
                  <w:r>
                    <w:rPr>
                      <w:rFonts w:hint="eastAsia"/>
                      <w:bCs/>
                      <w:lang w:val="en-US" w:eastAsia="zh-CN"/>
                    </w:rPr>
                    <w:t>水晶粉丝</w:t>
                  </w:r>
                  <w:r>
                    <w:rPr>
                      <w:rFonts w:hint="eastAsia"/>
                      <w:bCs/>
                      <w:lang w:val="en-GB" w:eastAsia="zh-CN"/>
                    </w:rPr>
                    <w:t>）</w:t>
                  </w:r>
                </w:p>
              </w:tc>
              <w:tc>
                <w:tcPr>
                  <w:tcW w:w="2873"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A8"/>
                  </w:r>
                  <w:r>
                    <w:rPr>
                      <w:bCs/>
                    </w:rPr>
                    <w:t>OPRP</w:t>
                  </w:r>
                </w:p>
                <w:p>
                  <w:pPr>
                    <w:jc w:val="center"/>
                    <w:rPr>
                      <w:rFonts w:hint="eastAsia"/>
                      <w:bCs/>
                      <w:lang w:val="en-US" w:eastAsia="zh-CN"/>
                    </w:rPr>
                  </w:pPr>
                  <w:r>
                    <w:rPr>
                      <w:rFonts w:hint="eastAsia"/>
                    </w:rPr>
                    <w:sym w:font="Wingdings" w:char="00FE"/>
                  </w:r>
                  <w:r>
                    <w:rPr>
                      <w:rFonts w:hint="eastAsia"/>
                      <w:bCs/>
                    </w:rPr>
                    <w:t>作业指导书&amp;</w:t>
                  </w:r>
                  <w:r>
                    <w:rPr>
                      <w:rFonts w:hint="eastAsia"/>
                      <w:bCs/>
                      <w:lang w:val="en-US" w:eastAsia="zh-CN"/>
                    </w:rPr>
                    <w:t>PRP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8" w:type="dxa"/>
                  <w:shd w:val="clear" w:color="auto" w:fill="auto"/>
                  <w:vAlign w:val="center"/>
                </w:tcPr>
                <w:p>
                  <w:pPr>
                    <w:jc w:val="center"/>
                    <w:rPr>
                      <w:bCs/>
                      <w:lang w:val="en-GB"/>
                    </w:rPr>
                  </w:pPr>
                </w:p>
              </w:tc>
              <w:tc>
                <w:tcPr>
                  <w:tcW w:w="2873" w:type="dxa"/>
                  <w:shd w:val="clear" w:color="auto" w:fill="auto"/>
                  <w:vAlign w:val="center"/>
                </w:tcPr>
                <w:p>
                  <w:pPr>
                    <w:jc w:val="center"/>
                    <w:rPr>
                      <w:bCs/>
                      <w:lang w:val="en-GB"/>
                    </w:rPr>
                  </w:pPr>
                </w:p>
              </w:tc>
              <w:tc>
                <w:tcPr>
                  <w:tcW w:w="3665" w:type="dxa"/>
                  <w:shd w:val="clear" w:color="auto" w:fill="auto"/>
                  <w:vAlign w:val="center"/>
                </w:tcPr>
                <w:p>
                  <w:pPr>
                    <w:jc w:val="center"/>
                    <w:rPr>
                      <w:bCs/>
                      <w:lang w:val="en-GB"/>
                    </w:rPr>
                  </w:pP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lang w:val="en-US" w:eastAsia="zh-CN"/>
              </w:rPr>
              <w:t>增加危害的可能性较低</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受潮，导致发霉编制</w:t>
            </w:r>
            <w:r>
              <w:rPr>
                <w:rFonts w:hint="eastAsia"/>
                <w:u w:val="single"/>
              </w:rPr>
              <w:t xml:space="preserve">              </w:t>
            </w:r>
          </w:p>
          <w:p>
            <w:pPr>
              <w:rPr>
                <w:u w:val="single"/>
              </w:rPr>
            </w:pPr>
            <w:r>
              <w:rPr>
                <w:rFonts w:hint="eastAsia"/>
              </w:rPr>
              <w:sym w:font="Wingdings" w:char="00A8"/>
            </w:r>
            <w:r>
              <w:rPr>
                <w:rFonts w:hint="eastAsia"/>
              </w:rPr>
              <w:t>售卖/配送过程：</w:t>
            </w:r>
            <w:r>
              <w:rPr>
                <w:rFonts w:hint="eastAsia"/>
                <w:u w:val="single"/>
              </w:rPr>
              <w:t xml:space="preserve">   </w:t>
            </w:r>
            <w:r>
              <w:rPr>
                <w:rFonts w:hint="eastAsia"/>
                <w:u w:val="single"/>
                <w:lang w:val="en-US" w:eastAsia="zh-CN"/>
              </w:rPr>
              <w:t>不适用</w:t>
            </w:r>
            <w:r>
              <w:rPr>
                <w:rFonts w:hint="eastAsia"/>
                <w:u w:val="single"/>
              </w:rPr>
              <w:t xml:space="preserve">                </w:t>
            </w:r>
          </w:p>
          <w:p>
            <w:r>
              <w:rPr>
                <w:rFonts w:hint="eastAsia"/>
              </w:rPr>
              <w:sym w:font="Wingdings" w:char="00A8"/>
            </w:r>
            <w:r>
              <w:rPr>
                <w:rFonts w:hint="eastAsia"/>
              </w:rPr>
              <w:t>运输过程：</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rPr>
                  </w:pPr>
                  <w:r>
                    <w:rPr>
                      <w:rFonts w:hint="eastAsia"/>
                      <w:bCs/>
                    </w:rPr>
                    <w:t>控制点示例</w:t>
                  </w:r>
                </w:p>
              </w:tc>
              <w:tc>
                <w:tcPr>
                  <w:tcW w:w="4263"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rFonts w:hint="default" w:eastAsia="宋体"/>
                      <w:bCs/>
                      <w:lang w:val="en-US" w:eastAsia="zh-CN"/>
                    </w:rPr>
                  </w:pPr>
                  <w:r>
                    <w:rPr>
                      <w:rFonts w:hint="eastAsia"/>
                      <w:bCs/>
                      <w:lang w:val="en-US" w:eastAsia="zh-CN"/>
                    </w:rPr>
                    <w:t>重金属、黄曲霉毒素B1、二氧化硫残留量</w:t>
                  </w:r>
                </w:p>
              </w:tc>
              <w:tc>
                <w:tcPr>
                  <w:tcW w:w="4263" w:type="dxa"/>
                  <w:shd w:val="clear" w:color="auto" w:fill="auto"/>
                  <w:vAlign w:val="bottom"/>
                </w:tcPr>
                <w:p>
                  <w:pPr>
                    <w:rPr>
                      <w:rFonts w:hint="default" w:eastAsia="宋体"/>
                      <w:bCs/>
                      <w:lang w:val="en-US" w:eastAsia="zh-CN"/>
                    </w:rPr>
                  </w:pPr>
                  <w:r>
                    <w:rPr>
                      <w:rFonts w:hint="eastAsia"/>
                      <w:bCs/>
                    </w:rPr>
                    <w:t>无肉眼可见异物；按照</w:t>
                  </w:r>
                  <w:r>
                    <w:rPr>
                      <w:rFonts w:hint="eastAsia"/>
                      <w:bCs/>
                      <w:lang w:eastAsia="zh-CN"/>
                    </w:rPr>
                    <w:t>《</w:t>
                  </w:r>
                  <w:r>
                    <w:rPr>
                      <w:rFonts w:ascii="Verdana" w:hAnsi="Verdana" w:eastAsia="宋体" w:cs="Verdana"/>
                      <w:i w:val="0"/>
                      <w:iCs w:val="0"/>
                      <w:caps w:val="0"/>
                      <w:color w:val="333333"/>
                      <w:spacing w:val="0"/>
                      <w:sz w:val="20"/>
                      <w:szCs w:val="20"/>
                      <w:shd w:val="clear" w:fill="FFFFFF"/>
                    </w:rPr>
                    <w:t>GB/T 23587-2009 粉条</w:t>
                  </w:r>
                  <w:r>
                    <w:rPr>
                      <w:rFonts w:hint="eastAsia"/>
                      <w:bCs/>
                      <w:lang w:eastAsia="zh-CN"/>
                    </w:rPr>
                    <w:t>》</w:t>
                  </w:r>
                  <w:r>
                    <w:rPr>
                      <w:rFonts w:hint="eastAsia"/>
                      <w:bCs/>
                      <w:lang w:val="en-US" w:eastAsia="zh-CN"/>
                    </w:rPr>
                    <w:t>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pPr>
                    <w:rPr>
                      <w:bCs/>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pPr>
              <w:rPr>
                <w:rFonts w:hint="default" w:eastAsia="宋体"/>
                <w:u w:val="single"/>
                <w:lang w:val="en-US" w:eastAsia="zh-CN"/>
              </w:rPr>
            </w:pPr>
            <w:r>
              <w:rPr>
                <w:rFonts w:hint="eastAsia"/>
              </w:rPr>
              <w:sym w:font="Wingdings" w:char="00FE"/>
            </w:r>
            <w:r>
              <w:rPr>
                <w:rFonts w:hint="eastAsia"/>
              </w:rPr>
              <w:t>已收集相关法规</w:t>
            </w:r>
            <w:r>
              <w:rPr>
                <w:rFonts w:hint="eastAsia"/>
                <w:lang w:eastAsia="zh-CN"/>
              </w:rPr>
              <w:t>，</w:t>
            </w:r>
            <w:r>
              <w:rPr>
                <w:rFonts w:hint="eastAsia"/>
                <w:u w:val="single"/>
                <w:lang w:val="en-US" w:eastAsia="zh-CN"/>
              </w:rPr>
              <w:t>见管理部审核记录</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054" w:hRule="atLeast"/>
        </w:trPr>
        <w:tc>
          <w:tcPr>
            <w:tcW w:w="2128" w:type="dxa"/>
            <w:gridSpan w:val="2"/>
            <w:shd w:val="clear" w:color="auto" w:fill="auto"/>
          </w:tcPr>
          <w:p>
            <w:r>
              <w:rPr>
                <w:rFonts w:hint="eastAsia"/>
              </w:rPr>
              <w:t>控制措施组合的确认</w:t>
            </w:r>
          </w:p>
          <w:p/>
        </w:tc>
        <w:tc>
          <w:tcPr>
            <w:tcW w:w="994" w:type="dxa"/>
            <w:shd w:val="clear" w:color="auto" w:fill="auto"/>
          </w:tcPr>
          <w:p>
            <w:r>
              <w:rPr>
                <w:rFonts w:hint="eastAsia"/>
              </w:rPr>
              <w:t>F8.5.3</w:t>
            </w:r>
          </w:p>
          <w:p/>
        </w:tc>
        <w:tc>
          <w:tcPr>
            <w:tcW w:w="745" w:type="dxa"/>
            <w:gridSpan w:val="2"/>
            <w:shd w:val="clear" w:color="auto" w:fill="auto"/>
          </w:tcPr>
          <w:p/>
        </w:tc>
        <w:tc>
          <w:tcPr>
            <w:tcW w:w="9277" w:type="dxa"/>
            <w:gridSpan w:val="2"/>
            <w:shd w:val="clear" w:color="auto" w:fill="auto"/>
          </w:tcPr>
          <w:p>
            <w:r>
              <w:rPr>
                <w:rFonts w:hint="eastAsia"/>
              </w:rPr>
              <w:t>组织就OPRP与CCP的组合能够防止、消除或将成品中食品安全危害减少到可接受水平进行了确认。</w:t>
            </w:r>
          </w:p>
          <w:p>
            <w:r>
              <w:rPr>
                <w:rFonts w:hint="eastAsia"/>
              </w:rPr>
              <w:t>抽取</w:t>
            </w:r>
            <w:r>
              <w:rPr>
                <w:rFonts w:hint="eastAsia"/>
                <w:color w:val="auto"/>
                <w:highlight w:val="none"/>
              </w:rPr>
              <w:t>成品型式检验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产品检测报告</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default" w:eastAsia="宋体"/>
                      <w:lang w:val="en-US" w:eastAsia="zh-CN"/>
                    </w:rPr>
                  </w:pPr>
                  <w:r>
                    <w:rPr>
                      <w:rFonts w:hint="eastAsia"/>
                      <w:lang w:val="en-US" w:eastAsia="zh-CN"/>
                    </w:rPr>
                    <w:t>2022-01-09</w:t>
                  </w:r>
                </w:p>
              </w:tc>
              <w:tc>
                <w:tcPr>
                  <w:tcW w:w="1620" w:type="dxa"/>
                </w:tcPr>
                <w:p>
                  <w:pPr>
                    <w:rPr>
                      <w:rFonts w:hint="default" w:eastAsia="宋体"/>
                      <w:lang w:val="en-US" w:eastAsia="zh-CN"/>
                    </w:rPr>
                  </w:pPr>
                  <w:r>
                    <w:rPr>
                      <w:rFonts w:hint="eastAsia"/>
                      <w:lang w:val="en-US" w:eastAsia="zh-CN"/>
                    </w:rPr>
                    <w:t>红薯粉条/2022-01-09</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rPr>
                      <w:rFonts w:hint="eastAsia"/>
                      <w:u w:val="single"/>
                    </w:rPr>
                    <w:t xml:space="preserve">NO:CJSP202200169A   </w:t>
                  </w:r>
                </w:p>
              </w:tc>
              <w:tc>
                <w:tcPr>
                  <w:tcW w:w="1566" w:type="dxa"/>
                </w:tcPr>
                <w:p>
                  <w:pPr>
                    <w:rPr>
                      <w:rFonts w:hint="default" w:eastAsia="宋体"/>
                      <w:lang w:val="en-US" w:eastAsia="zh-CN"/>
                    </w:rPr>
                  </w:pPr>
                  <w:r>
                    <w:rPr>
                      <w:rFonts w:hint="eastAsia"/>
                      <w:lang w:val="en-US" w:eastAsia="zh-CN"/>
                    </w:rPr>
                    <w:t>2022-01-21</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bl>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有《PRP现场验证记录》，202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1</w:t>
            </w:r>
            <w:r>
              <w:rPr>
                <w:rFonts w:hint="eastAsia" w:ascii="宋体" w:hAnsi="宋体"/>
                <w:b/>
                <w:bCs/>
                <w:szCs w:val="21"/>
                <w:u w:val="single"/>
              </w:rPr>
              <w:t>月</w:t>
            </w:r>
            <w:r>
              <w:rPr>
                <w:rFonts w:hint="eastAsia" w:ascii="宋体" w:hAnsi="宋体"/>
                <w:b/>
                <w:bCs/>
                <w:szCs w:val="21"/>
                <w:u w:val="single"/>
                <w:lang w:val="en-US" w:eastAsia="zh-CN"/>
              </w:rPr>
              <w:t>20</w:t>
            </w:r>
            <w:r>
              <w:rPr>
                <w:rFonts w:hint="eastAsia" w:ascii="宋体" w:hAnsi="宋体"/>
                <w:b/>
                <w:bCs/>
                <w:szCs w:val="21"/>
                <w:u w:val="single"/>
              </w:rPr>
              <w:t>日，结论：控制有效</w:t>
            </w:r>
          </w:p>
          <w:p>
            <w:pPr>
              <w:adjustRightInd w:val="0"/>
              <w:snapToGrid w:val="0"/>
              <w:spacing w:line="240" w:lineRule="atLeast"/>
              <w:ind w:firstLine="422" w:firstLineChars="200"/>
              <w:rPr>
                <w:rFonts w:hint="default" w:ascii="宋体" w:hAnsi="宋体" w:eastAsia="宋体"/>
                <w:b/>
                <w:bCs/>
                <w:szCs w:val="21"/>
                <w:highlight w:val="none"/>
                <w:u w:val="single"/>
                <w:lang w:val="en-US" w:eastAsia="zh-CN"/>
              </w:rPr>
            </w:pPr>
            <w:r>
              <w:rPr>
                <w:rFonts w:hint="eastAsia" w:ascii="宋体" w:hAnsi="宋体"/>
                <w:b/>
                <w:bCs/>
                <w:szCs w:val="21"/>
                <w:highlight w:val="none"/>
                <w:u w:val="single"/>
              </w:rPr>
              <w:t>《OPRP确认记录表》，2021年</w:t>
            </w:r>
            <w:r>
              <w:rPr>
                <w:rFonts w:hint="eastAsia" w:ascii="宋体" w:hAnsi="宋体"/>
                <w:b/>
                <w:bCs/>
                <w:szCs w:val="21"/>
                <w:highlight w:val="none"/>
                <w:u w:val="single"/>
                <w:lang w:val="en-US" w:eastAsia="zh-CN"/>
              </w:rPr>
              <w:t>11</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10</w:t>
            </w:r>
            <w:r>
              <w:rPr>
                <w:rFonts w:hint="eastAsia" w:ascii="宋体" w:hAnsi="宋体"/>
                <w:b/>
                <w:bCs/>
                <w:szCs w:val="21"/>
                <w:highlight w:val="none"/>
                <w:u w:val="single"/>
              </w:rPr>
              <w:t>日，结论：控制有效</w:t>
            </w:r>
            <w:r>
              <w:rPr>
                <w:rFonts w:hint="eastAsia" w:ascii="宋体" w:hAnsi="宋体"/>
                <w:b/>
                <w:bCs/>
                <w:szCs w:val="21"/>
                <w:highlight w:val="none"/>
                <w:u w:val="single"/>
                <w:lang w:eastAsia="zh-CN"/>
              </w:rPr>
              <w:t>，</w:t>
            </w:r>
            <w:r>
              <w:rPr>
                <w:rFonts w:hint="eastAsia" w:ascii="宋体" w:hAnsi="宋体"/>
                <w:b/>
                <w:bCs/>
                <w:szCs w:val="21"/>
                <w:highlight w:val="none"/>
                <w:u w:val="single"/>
                <w:lang w:val="en-US" w:eastAsia="zh-CN"/>
              </w:rPr>
              <w:t>确认内容不充分，已现场沟通</w:t>
            </w:r>
          </w:p>
          <w:p>
            <w:pPr>
              <w:adjustRightInd w:val="0"/>
              <w:snapToGrid w:val="0"/>
              <w:spacing w:line="240" w:lineRule="atLeast"/>
              <w:ind w:firstLine="422" w:firstLineChars="200"/>
              <w:rPr>
                <w:rFonts w:ascii="宋体" w:hAnsi="宋体"/>
                <w:b/>
                <w:bCs/>
                <w:szCs w:val="21"/>
                <w:highlight w:val="none"/>
                <w:u w:val="single"/>
              </w:rPr>
            </w:pPr>
            <w:r>
              <w:rPr>
                <w:rFonts w:hint="eastAsia" w:ascii="宋体" w:hAnsi="宋体"/>
                <w:b/>
                <w:bCs/>
                <w:szCs w:val="21"/>
                <w:highlight w:val="none"/>
                <w:u w:val="single"/>
              </w:rPr>
              <w:t>《</w:t>
            </w:r>
            <w:r>
              <w:rPr>
                <w:rFonts w:hint="eastAsia" w:ascii="宋体" w:hAnsi="宋体"/>
                <w:b/>
                <w:bCs/>
                <w:szCs w:val="21"/>
                <w:highlight w:val="none"/>
                <w:u w:val="single"/>
                <w:lang w:val="en-US" w:eastAsia="zh-CN"/>
              </w:rPr>
              <w:t>危害控制</w:t>
            </w:r>
            <w:r>
              <w:rPr>
                <w:rFonts w:hint="eastAsia" w:ascii="宋体" w:hAnsi="宋体"/>
                <w:b/>
                <w:bCs/>
                <w:szCs w:val="21"/>
                <w:highlight w:val="none"/>
                <w:u w:val="single"/>
              </w:rPr>
              <w:t>计划确认记录表》，2021年</w:t>
            </w:r>
            <w:r>
              <w:rPr>
                <w:rFonts w:hint="eastAsia" w:ascii="宋体" w:hAnsi="宋体"/>
                <w:b/>
                <w:bCs/>
                <w:szCs w:val="21"/>
                <w:highlight w:val="none"/>
                <w:u w:val="single"/>
                <w:lang w:val="en-US" w:eastAsia="zh-CN"/>
              </w:rPr>
              <w:t>11</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10</w:t>
            </w:r>
            <w:r>
              <w:rPr>
                <w:rFonts w:hint="eastAsia" w:ascii="宋体" w:hAnsi="宋体"/>
                <w:b/>
                <w:bCs/>
                <w:szCs w:val="21"/>
                <w:highlight w:val="none"/>
                <w:u w:val="single"/>
              </w:rPr>
              <w:t>日，结论：控制有效</w:t>
            </w:r>
          </w:p>
          <w:p/>
          <w:p>
            <w:r>
              <w:rPr>
                <w:rFonts w:hint="eastAsia"/>
              </w:rPr>
              <w:t>当确认结果表明上述不能被证实时，组织应对控制措施和（或） 其组合进行修改和重新评估。</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6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符合</w:t>
            </w:r>
          </w:p>
          <w:p>
            <w:r>
              <w:rPr>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restart"/>
            <w:shd w:val="clear" w:color="auto" w:fill="auto"/>
          </w:tcPr>
          <w:p>
            <w:pPr>
              <w:jc w:val="left"/>
            </w:pPr>
            <w:r>
              <w:rPr>
                <w:rFonts w:hint="eastAsia"/>
              </w:rPr>
              <w:t>危害控制计划 (HACCP/OPRP 计划)</w:t>
            </w:r>
            <w:r>
              <w:rPr>
                <w:rFonts w:hint="eastAsia"/>
              </w:rPr>
              <w:br w:type="textWrapping"/>
            </w:r>
          </w:p>
        </w:tc>
        <w:tc>
          <w:tcPr>
            <w:tcW w:w="994" w:type="dxa"/>
            <w:shd w:val="clear" w:color="auto" w:fill="auto"/>
          </w:tcPr>
          <w:p>
            <w:r>
              <w:rPr>
                <w:rFonts w:hint="eastAsia"/>
              </w:rPr>
              <w:t>F8.5.4</w:t>
            </w:r>
          </w:p>
          <w:p/>
        </w:tc>
        <w:tc>
          <w:tcPr>
            <w:tcW w:w="745" w:type="dxa"/>
            <w:gridSpan w:val="2"/>
            <w:shd w:val="clear" w:color="auto" w:fill="auto"/>
          </w:tcPr>
          <w:p>
            <w:r>
              <w:rPr>
                <w:rFonts w:hint="eastAsia"/>
              </w:rPr>
              <w:t>文件名称</w:t>
            </w:r>
          </w:p>
        </w:tc>
        <w:tc>
          <w:tcPr>
            <w:tcW w:w="9277" w:type="dxa"/>
            <w:gridSpan w:val="2"/>
            <w:shd w:val="clear" w:color="auto" w:fill="auto"/>
          </w:tcPr>
          <w:p>
            <w:r>
              <w:rPr>
                <w:rFonts w:hint="eastAsia"/>
              </w:rPr>
              <w:t>如：</w:t>
            </w:r>
            <w:r>
              <w:rPr/>
              <w:sym w:font="Wingdings" w:char="00FE"/>
            </w:r>
            <w:r>
              <w:rPr>
                <w:rFonts w:hint="eastAsia"/>
                <w:lang w:eastAsia="zh-CN"/>
              </w:rPr>
              <w:t>《</w:t>
            </w:r>
            <w:r>
              <w:rPr>
                <w:rFonts w:hint="eastAsia"/>
                <w:lang w:val="en-US" w:eastAsia="zh-CN"/>
              </w:rPr>
              <w:t>质量和食品安全管理手册</w:t>
            </w:r>
            <w:r>
              <w:rPr>
                <w:rFonts w:hint="eastAsia"/>
                <w:lang w:eastAsia="zh-CN"/>
              </w:rPr>
              <w:t>》</w:t>
            </w:r>
            <w:r>
              <w:rPr>
                <w:rFonts w:hint="eastAsia"/>
                <w:lang w:val="en-US" w:eastAsia="zh-CN"/>
              </w:rPr>
              <w:t>8.1.6条款、</w:t>
            </w:r>
            <w:r>
              <w:rPr/>
              <w:sym w:font="Wingdings" w:char="00FE"/>
            </w:r>
            <w:r>
              <w:rPr>
                <w:rFonts w:hint="eastAsia"/>
              </w:rPr>
              <w:t>《</w:t>
            </w:r>
            <w:r>
              <w:rPr>
                <w:rFonts w:hint="eastAsia"/>
                <w:lang w:val="en-US" w:eastAsia="zh-CN"/>
              </w:rPr>
              <w:t>危害控制计划</w:t>
            </w:r>
            <w:r>
              <w:rPr>
                <w:rFonts w:hint="eastAsia"/>
              </w:rPr>
              <w:t>》</w:t>
            </w:r>
          </w:p>
        </w:tc>
        <w:tc>
          <w:tcPr>
            <w:tcW w:w="1568"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continue"/>
            <w:shd w:val="clear" w:color="auto" w:fill="auto"/>
          </w:tcPr>
          <w:p>
            <w:pPr>
              <w:jc w:val="left"/>
              <w:rPr>
                <w:rFonts w:hint="eastAsia"/>
              </w:rPr>
            </w:pPr>
          </w:p>
        </w:tc>
        <w:tc>
          <w:tcPr>
            <w:tcW w:w="994" w:type="dxa"/>
            <w:shd w:val="clear" w:color="auto" w:fill="auto"/>
          </w:tcPr>
          <w:p/>
        </w:tc>
        <w:tc>
          <w:tcPr>
            <w:tcW w:w="745" w:type="dxa"/>
            <w:gridSpan w:val="2"/>
            <w:shd w:val="clear" w:color="auto" w:fill="auto"/>
          </w:tcPr>
          <w:p>
            <w:pPr>
              <w:rPr>
                <w:rFonts w:hint="default" w:eastAsia="宋体"/>
                <w:lang w:val="en-US" w:eastAsia="zh-CN"/>
              </w:rPr>
            </w:pPr>
            <w:r>
              <w:rPr>
                <w:rFonts w:hint="eastAsia"/>
                <w:lang w:val="en-US" w:eastAsia="zh-CN"/>
              </w:rPr>
              <w:t>运行证据</w:t>
            </w:r>
          </w:p>
        </w:tc>
        <w:tc>
          <w:tcPr>
            <w:tcW w:w="9277" w:type="dxa"/>
            <w:gridSpan w:val="2"/>
            <w:shd w:val="clear" w:color="auto" w:fill="auto"/>
          </w:tcPr>
          <w:p>
            <w:pPr>
              <w:rPr>
                <w:rFonts w:hint="default" w:eastAsia="宋体"/>
                <w:lang w:val="en-US" w:eastAsia="zh-CN"/>
              </w:rPr>
            </w:pPr>
            <w:r>
              <w:rPr>
                <w:rFonts w:hint="eastAsia"/>
                <w:lang w:val="en-US" w:eastAsia="zh-CN"/>
              </w:rPr>
              <w:t>所确定的CCP点/OPRP点如下：</w:t>
            </w:r>
          </w:p>
          <w:tbl>
            <w:tblPr>
              <w:tblStyle w:val="8"/>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13"/>
              <w:gridCol w:w="1055"/>
              <w:gridCol w:w="2400"/>
              <w:gridCol w:w="243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608" w:type="dxa"/>
                  <w:gridSpan w:val="2"/>
                  <w:vMerge w:val="restart"/>
                  <w:noWrap w:val="0"/>
                  <w:vAlign w:val="center"/>
                </w:tcPr>
                <w:p>
                  <w:pPr>
                    <w:spacing w:line="32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危害控制点（CCP/OPRP）</w:t>
                  </w:r>
                </w:p>
              </w:tc>
              <w:tc>
                <w:tcPr>
                  <w:tcW w:w="1055" w:type="dxa"/>
                  <w:vMerge w:val="restart"/>
                  <w:noWrap w:val="0"/>
                  <w:vAlign w:val="center"/>
                </w:tcPr>
                <w:p>
                  <w:pPr>
                    <w:spacing w:line="32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显著危害</w:t>
                  </w:r>
                </w:p>
              </w:tc>
              <w:tc>
                <w:tcPr>
                  <w:tcW w:w="2400" w:type="dxa"/>
                  <w:vMerge w:val="restart"/>
                  <w:noWrap w:val="0"/>
                  <w:vAlign w:val="center"/>
                </w:tcPr>
                <w:p>
                  <w:pPr>
                    <w:spacing w:line="32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每个预防措施的</w:t>
                  </w:r>
                </w:p>
                <w:p>
                  <w:pPr>
                    <w:spacing w:line="32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关键限值/行动准则</w:t>
                  </w:r>
                </w:p>
              </w:tc>
              <w:tc>
                <w:tcPr>
                  <w:tcW w:w="2434" w:type="dxa"/>
                  <w:vMerge w:val="restart"/>
                  <w:noWrap w:val="0"/>
                  <w:vAlign w:val="center"/>
                </w:tcPr>
                <w:p>
                  <w:pPr>
                    <w:spacing w:line="32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监控方法</w:t>
                  </w:r>
                </w:p>
              </w:tc>
              <w:tc>
                <w:tcPr>
                  <w:tcW w:w="1320" w:type="dxa"/>
                  <w:vMerge w:val="restart"/>
                  <w:noWrap w:val="0"/>
                  <w:vAlign w:val="center"/>
                </w:tcPr>
                <w:p>
                  <w:pPr>
                    <w:spacing w:line="32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608" w:type="dxa"/>
                  <w:gridSpan w:val="2"/>
                  <w:vMerge w:val="continue"/>
                  <w:noWrap w:val="0"/>
                  <w:vAlign w:val="center"/>
                </w:tcPr>
                <w:p>
                  <w:pPr>
                    <w:spacing w:line="320" w:lineRule="exact"/>
                    <w:jc w:val="center"/>
                    <w:rPr>
                      <w:rFonts w:hint="default" w:ascii="Times New Roman" w:hAnsi="Times New Roman" w:cs="Times New Roman"/>
                      <w:sz w:val="18"/>
                      <w:szCs w:val="18"/>
                      <w:highlight w:val="none"/>
                    </w:rPr>
                  </w:pPr>
                </w:p>
              </w:tc>
              <w:tc>
                <w:tcPr>
                  <w:tcW w:w="1055" w:type="dxa"/>
                  <w:vMerge w:val="continue"/>
                  <w:noWrap w:val="0"/>
                  <w:vAlign w:val="center"/>
                </w:tcPr>
                <w:p>
                  <w:pPr>
                    <w:spacing w:line="320" w:lineRule="exact"/>
                    <w:jc w:val="center"/>
                    <w:rPr>
                      <w:rFonts w:hint="default" w:ascii="Times New Roman" w:hAnsi="Times New Roman" w:cs="Times New Roman"/>
                      <w:sz w:val="18"/>
                      <w:szCs w:val="18"/>
                      <w:highlight w:val="none"/>
                    </w:rPr>
                  </w:pPr>
                </w:p>
              </w:tc>
              <w:tc>
                <w:tcPr>
                  <w:tcW w:w="2400" w:type="dxa"/>
                  <w:vMerge w:val="continue"/>
                  <w:noWrap w:val="0"/>
                  <w:vAlign w:val="center"/>
                </w:tcPr>
                <w:p>
                  <w:pPr>
                    <w:spacing w:line="320" w:lineRule="exact"/>
                    <w:jc w:val="center"/>
                    <w:rPr>
                      <w:rFonts w:hint="default" w:ascii="Times New Roman" w:hAnsi="Times New Roman" w:cs="Times New Roman"/>
                      <w:sz w:val="18"/>
                      <w:szCs w:val="18"/>
                      <w:highlight w:val="none"/>
                    </w:rPr>
                  </w:pPr>
                </w:p>
              </w:tc>
              <w:tc>
                <w:tcPr>
                  <w:tcW w:w="2434" w:type="dxa"/>
                  <w:vMerge w:val="continue"/>
                  <w:noWrap w:val="0"/>
                  <w:vAlign w:val="center"/>
                </w:tcPr>
                <w:p>
                  <w:pPr>
                    <w:spacing w:line="320" w:lineRule="exact"/>
                    <w:jc w:val="center"/>
                    <w:rPr>
                      <w:rFonts w:hint="default" w:ascii="Times New Roman" w:hAnsi="Times New Roman" w:cs="Times New Roman"/>
                      <w:sz w:val="18"/>
                      <w:szCs w:val="18"/>
                      <w:highlight w:val="none"/>
                    </w:rPr>
                  </w:pPr>
                </w:p>
              </w:tc>
              <w:tc>
                <w:tcPr>
                  <w:tcW w:w="1320" w:type="dxa"/>
                  <w:vMerge w:val="continue"/>
                  <w:noWrap w:val="0"/>
                  <w:vAlign w:val="center"/>
                </w:tcPr>
                <w:p>
                  <w:pPr>
                    <w:spacing w:line="320" w:lineRule="exact"/>
                    <w:jc w:val="center"/>
                    <w:rPr>
                      <w:rFonts w:hint="default" w:ascii="Times New Roman" w:hAnsi="Times New Roman"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795" w:type="dxa"/>
                  <w:noWrap w:val="0"/>
                  <w:vAlign w:val="center"/>
                </w:tcPr>
                <w:p>
                  <w:pPr>
                    <w:spacing w:line="300" w:lineRule="exac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OPRP1</w:t>
                  </w:r>
                </w:p>
              </w:tc>
              <w:tc>
                <w:tcPr>
                  <w:tcW w:w="813" w:type="dxa"/>
                  <w:noWrap w:val="0"/>
                  <w:vAlign w:val="center"/>
                </w:tcPr>
                <w:p>
                  <w:pPr>
                    <w:spacing w:line="300" w:lineRule="exact"/>
                    <w:jc w:val="center"/>
                    <w:rPr>
                      <w:rFonts w:hint="default" w:ascii="Times New Roman" w:hAnsi="Times New Roman" w:cs="Times New Roman"/>
                      <w:b/>
                      <w:sz w:val="18"/>
                      <w:szCs w:val="18"/>
                      <w:highlight w:val="none"/>
                    </w:rPr>
                  </w:pPr>
                  <w:r>
                    <w:rPr>
                      <w:rFonts w:hint="default" w:ascii="Times New Roman" w:hAnsi="Times New Roman" w:cs="Times New Roman" w:eastAsiaTheme="minorEastAsia"/>
                      <w:color w:val="000000"/>
                      <w:spacing w:val="-10"/>
                      <w:kern w:val="2"/>
                      <w:sz w:val="18"/>
                      <w:szCs w:val="18"/>
                      <w:highlight w:val="none"/>
                      <w:lang w:val="en-US" w:eastAsia="zh-CN" w:bidi="ar-SA"/>
                    </w:rPr>
                    <w:t>储水池沉淀</w:t>
                  </w:r>
                </w:p>
              </w:tc>
              <w:tc>
                <w:tcPr>
                  <w:tcW w:w="1055" w:type="dxa"/>
                  <w:noWrap w:val="0"/>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化学：氯化物</w:t>
                  </w:r>
                </w:p>
              </w:tc>
              <w:tc>
                <w:tcPr>
                  <w:tcW w:w="2400" w:type="dxa"/>
                  <w:noWrap w:val="0"/>
                  <w:vAlign w:val="center"/>
                </w:tcPr>
                <w:p>
                  <w:pPr>
                    <w:pStyle w:val="7"/>
                    <w:numPr>
                      <w:ilvl w:val="0"/>
                      <w:numId w:val="0"/>
                    </w:numPr>
                    <w:ind w:leftChars="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水质检验，氯含量不得高于200mg/L</w:t>
                  </w:r>
                </w:p>
              </w:tc>
              <w:tc>
                <w:tcPr>
                  <w:tcW w:w="2434" w:type="dxa"/>
                  <w:noWrap w:val="0"/>
                  <w:vAlign w:val="center"/>
                </w:tcPr>
                <w:p>
                  <w:pPr>
                    <w:pStyle w:val="3"/>
                    <w:ind w:left="0" w:leftChars="0" w:firstLine="0" w:firstLineChars="0"/>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水处理化验员每2小时检测一次水中氯化物含量</w:t>
                  </w:r>
                </w:p>
              </w:tc>
              <w:tc>
                <w:tcPr>
                  <w:tcW w:w="1320" w:type="dxa"/>
                  <w:noWrap w:val="0"/>
                  <w:vAlign w:val="center"/>
                </w:tcPr>
                <w:p>
                  <w:pPr>
                    <w:spacing w:line="320" w:lineRule="exac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eastAsia="zh-CN"/>
                    </w:rPr>
                    <w:t>《水质检验记录》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5" w:type="dxa"/>
                  <w:noWrap w:val="0"/>
                  <w:vAlign w:val="center"/>
                </w:tcPr>
                <w:p>
                  <w:pPr>
                    <w:spacing w:line="300" w:lineRule="exact"/>
                    <w:jc w:val="center"/>
                    <w:rPr>
                      <w:rFonts w:hint="default" w:ascii="Times New Roman" w:hAnsi="Times New Roman" w:cs="Times New Roman" w:eastAsiaTheme="minorEastAsia"/>
                      <w:color w:val="000000"/>
                      <w:spacing w:val="-10"/>
                      <w:kern w:val="2"/>
                      <w:sz w:val="18"/>
                      <w:szCs w:val="18"/>
                      <w:highlight w:val="none"/>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OPRP2</w:t>
                  </w:r>
                </w:p>
              </w:tc>
              <w:tc>
                <w:tcPr>
                  <w:tcW w:w="813" w:type="dxa"/>
                  <w:noWrap w:val="0"/>
                  <w:vAlign w:val="center"/>
                </w:tcPr>
                <w:p>
                  <w:pPr>
                    <w:spacing w:line="300" w:lineRule="exact"/>
                    <w:jc w:val="center"/>
                    <w:rPr>
                      <w:rFonts w:hint="default" w:ascii="Times New Roman" w:hAnsi="Times New Roman" w:cs="Times New Roman" w:eastAsiaTheme="minorEastAsia"/>
                      <w:color w:val="000000"/>
                      <w:spacing w:val="-10"/>
                      <w:kern w:val="2"/>
                      <w:sz w:val="18"/>
                      <w:szCs w:val="18"/>
                      <w:highlight w:val="none"/>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过滤</w:t>
                  </w:r>
                </w:p>
              </w:tc>
              <w:tc>
                <w:tcPr>
                  <w:tcW w:w="1055" w:type="dxa"/>
                  <w:noWrap w:val="0"/>
                  <w:vAlign w:val="center"/>
                </w:tcPr>
                <w:p>
                  <w:pPr>
                    <w:spacing w:line="24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物理：杂质</w:t>
                  </w:r>
                </w:p>
              </w:tc>
              <w:tc>
                <w:tcPr>
                  <w:tcW w:w="2400" w:type="dxa"/>
                  <w:noWrap w:val="0"/>
                  <w:vAlign w:val="center"/>
                </w:tcPr>
                <w:p>
                  <w:pPr>
                    <w:pStyle w:val="7"/>
                    <w:numPr>
                      <w:ilvl w:val="0"/>
                      <w:numId w:val="0"/>
                    </w:numPr>
                    <w:ind w:leftChars="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使用40目不锈钢滤</w:t>
                  </w:r>
                </w:p>
                <w:p>
                  <w:pPr>
                    <w:pStyle w:val="7"/>
                    <w:numPr>
                      <w:ilvl w:val="0"/>
                      <w:numId w:val="0"/>
                    </w:numPr>
                    <w:ind w:leftChars="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网过滤，每10天清洗一次滤网，检查并更换破损滤网</w:t>
                  </w:r>
                </w:p>
              </w:tc>
              <w:tc>
                <w:tcPr>
                  <w:tcW w:w="2434" w:type="dxa"/>
                  <w:noWrap w:val="0"/>
                  <w:vAlign w:val="center"/>
                </w:tcPr>
                <w:p>
                  <w:pPr>
                    <w:keepNext w:val="0"/>
                    <w:keepLines w:val="0"/>
                    <w:widowControl/>
                    <w:suppressLineNumbers w:val="0"/>
                    <w:jc w:val="left"/>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color w:val="000000"/>
                      <w:kern w:val="0"/>
                      <w:sz w:val="18"/>
                      <w:szCs w:val="18"/>
                      <w:lang w:val="en-US" w:eastAsia="zh-CN" w:bidi="ar"/>
                    </w:rPr>
                    <w:t>水处理操作工每10天更换破损滤网、清洗滤网</w:t>
                  </w:r>
                </w:p>
              </w:tc>
              <w:tc>
                <w:tcPr>
                  <w:tcW w:w="1320" w:type="dxa"/>
                  <w:noWrap w:val="0"/>
                  <w:vAlign w:val="center"/>
                </w:tcPr>
                <w:p>
                  <w:pPr>
                    <w:keepNext w:val="0"/>
                    <w:keepLines w:val="0"/>
                    <w:widowControl/>
                    <w:suppressLineNumbers w:val="0"/>
                    <w:jc w:val="left"/>
                    <w:rPr>
                      <w:rFonts w:hint="default" w:ascii="Times New Roman" w:hAnsi="Times New Roman" w:cs="Times New Roman"/>
                      <w:sz w:val="18"/>
                      <w:szCs w:val="18"/>
                    </w:rPr>
                  </w:pPr>
                  <w:r>
                    <w:rPr>
                      <w:rFonts w:hint="default" w:ascii="Times New Roman" w:hAnsi="Times New Roman" w:cs="Times New Roman"/>
                      <w:sz w:val="18"/>
                      <w:szCs w:val="18"/>
                      <w:highlight w:val="none"/>
                      <w:lang w:eastAsia="zh-CN"/>
                    </w:rPr>
                    <w:t>《</w:t>
                  </w:r>
                  <w:r>
                    <w:rPr>
                      <w:rFonts w:hint="default" w:ascii="Times New Roman" w:hAnsi="Times New Roman" w:eastAsia="宋体" w:cs="Times New Roman"/>
                      <w:color w:val="000000"/>
                      <w:kern w:val="0"/>
                      <w:sz w:val="18"/>
                      <w:szCs w:val="18"/>
                      <w:lang w:val="en-US" w:eastAsia="zh-CN" w:bidi="ar"/>
                    </w:rPr>
                    <w:t>水处理操作记录》</w:t>
                  </w:r>
                </w:p>
                <w:p>
                  <w:pPr>
                    <w:keepNext w:val="0"/>
                    <w:keepLines w:val="0"/>
                    <w:widowControl/>
                    <w:suppressLineNumbers w:val="0"/>
                    <w:jc w:val="left"/>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color w:val="000000"/>
                      <w:kern w:val="0"/>
                      <w:sz w:val="18"/>
                      <w:szCs w:val="18"/>
                      <w:lang w:val="en-US" w:eastAsia="zh-CN" w:bidi="ar"/>
                    </w:rPr>
                    <w:t>《过滤器检查记录</w:t>
                  </w: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95" w:type="dxa"/>
                  <w:vMerge w:val="restart"/>
                  <w:noWrap w:val="0"/>
                  <w:vAlign w:val="center"/>
                </w:tcPr>
                <w:p>
                  <w:pPr>
                    <w:spacing w:line="360" w:lineRule="auto"/>
                    <w:ind w:left="210" w:hanging="180" w:hangingChars="10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CCP</w:t>
                  </w:r>
                  <w:r>
                    <w:rPr>
                      <w:rFonts w:hint="default" w:ascii="Times New Roman" w:hAnsi="Times New Roman" w:cs="Times New Roman"/>
                      <w:sz w:val="18"/>
                      <w:szCs w:val="18"/>
                      <w:lang w:val="en-US" w:eastAsia="zh-CN"/>
                    </w:rPr>
                    <w:t>3</w:t>
                  </w:r>
                </w:p>
              </w:tc>
              <w:tc>
                <w:tcPr>
                  <w:tcW w:w="813" w:type="dxa"/>
                  <w:vMerge w:val="restart"/>
                  <w:noWrap w:val="0"/>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淀粉验收</w:t>
                  </w:r>
                </w:p>
              </w:tc>
              <w:tc>
                <w:tcPr>
                  <w:tcW w:w="1055" w:type="dxa"/>
                  <w:noWrap w:val="0"/>
                  <w:vAlign w:val="center"/>
                </w:tcPr>
                <w:p>
                  <w:pPr>
                    <w:keepNext w:val="0"/>
                    <w:keepLines w:val="0"/>
                    <w:widowControl/>
                    <w:suppressLineNumbers w:val="0"/>
                    <w:jc w:val="left"/>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生物：致病菌</w:t>
                  </w:r>
                </w:p>
                <w:p>
                  <w:pPr>
                    <w:spacing w:line="240" w:lineRule="exact"/>
                    <w:jc w:val="center"/>
                    <w:rPr>
                      <w:rFonts w:hint="default" w:ascii="Times New Roman" w:hAnsi="Times New Roman" w:cs="Times New Roman"/>
                      <w:sz w:val="18"/>
                      <w:szCs w:val="18"/>
                      <w:lang w:eastAsia="zh-CN"/>
                    </w:rPr>
                  </w:pPr>
                </w:p>
              </w:tc>
              <w:tc>
                <w:tcPr>
                  <w:tcW w:w="2400" w:type="dxa"/>
                  <w:noWrap w:val="0"/>
                  <w:vAlign w:val="center"/>
                </w:tcPr>
                <w:p>
                  <w:pPr>
                    <w:jc w:val="left"/>
                    <w:rPr>
                      <w:rFonts w:hint="default" w:ascii="Times New Roman" w:hAnsi="Times New Roman" w:cs="Times New Roman"/>
                      <w:sz w:val="18"/>
                      <w:szCs w:val="18"/>
                      <w:lang w:val="en-US" w:eastAsia="zh-CN"/>
                    </w:rPr>
                  </w:pPr>
                  <w:r>
                    <w:rPr>
                      <w:rFonts w:hint="default" w:ascii="Times New Roman" w:hAnsi="Times New Roman" w:eastAsia="宋体" w:cs="Times New Roman"/>
                      <w:kern w:val="2"/>
                      <w:sz w:val="18"/>
                      <w:szCs w:val="18"/>
                      <w:highlight w:val="none"/>
                      <w:lang w:val="en-US" w:eastAsia="zh-CN" w:bidi="ar-SA"/>
                    </w:rPr>
                    <w:t>菌落总数：n=5,c=2,m=104,M=105；大肠菌群：n=5,c=2,m=102,M=103；霉菌和酵母≤103CFU/g，</w:t>
                  </w:r>
                </w:p>
              </w:tc>
              <w:tc>
                <w:tcPr>
                  <w:tcW w:w="2434" w:type="dxa"/>
                  <w:noWrap w:val="0"/>
                  <w:vAlign w:val="center"/>
                </w:tcPr>
                <w:p>
                  <w:pPr>
                    <w:pStyle w:val="3"/>
                    <w:ind w:left="0" w:leftChars="0" w:firstLine="0" w:firstLineChars="0"/>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原料验收员每批查验供方报告</w:t>
                  </w:r>
                  <w:r>
                    <w:rPr>
                      <w:rFonts w:hint="eastAsia" w:ascii="Times New Roman" w:hAnsi="Times New Roman" w:cs="Times New Roman"/>
                      <w:sz w:val="18"/>
                      <w:szCs w:val="18"/>
                      <w:highlight w:val="none"/>
                      <w:lang w:val="en-US" w:eastAsia="zh-CN"/>
                    </w:rPr>
                    <w:t>【策划频次不合理，已现场沟通】</w:t>
                  </w:r>
                </w:p>
              </w:tc>
              <w:tc>
                <w:tcPr>
                  <w:tcW w:w="1320" w:type="dxa"/>
                  <w:noWrap w:val="0"/>
                  <w:vAlign w:val="center"/>
                </w:tcPr>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供方第三方检验报告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95" w:type="dxa"/>
                  <w:vMerge w:val="continue"/>
                  <w:noWrap w:val="0"/>
                  <w:vAlign w:val="center"/>
                </w:tcPr>
                <w:p>
                  <w:pPr>
                    <w:spacing w:line="300" w:lineRule="exact"/>
                    <w:jc w:val="center"/>
                    <w:rPr>
                      <w:rFonts w:hint="default" w:ascii="Times New Roman" w:hAnsi="Times New Roman" w:cs="Times New Roman" w:eastAsiaTheme="minorEastAsia"/>
                      <w:color w:val="000000"/>
                      <w:spacing w:val="-10"/>
                      <w:kern w:val="2"/>
                      <w:sz w:val="18"/>
                      <w:szCs w:val="18"/>
                      <w:highlight w:val="none"/>
                      <w:lang w:val="en-US" w:eastAsia="zh-CN" w:bidi="ar-SA"/>
                    </w:rPr>
                  </w:pPr>
                </w:p>
              </w:tc>
              <w:tc>
                <w:tcPr>
                  <w:tcW w:w="813" w:type="dxa"/>
                  <w:vMerge w:val="continue"/>
                  <w:noWrap w:val="0"/>
                  <w:vAlign w:val="center"/>
                </w:tcPr>
                <w:p>
                  <w:pPr>
                    <w:spacing w:line="300" w:lineRule="exact"/>
                    <w:jc w:val="center"/>
                    <w:rPr>
                      <w:rFonts w:hint="default" w:ascii="Times New Roman" w:hAnsi="Times New Roman" w:cs="Times New Roman" w:eastAsiaTheme="minorEastAsia"/>
                      <w:color w:val="000000"/>
                      <w:spacing w:val="-10"/>
                      <w:kern w:val="2"/>
                      <w:sz w:val="18"/>
                      <w:szCs w:val="18"/>
                      <w:highlight w:val="none"/>
                      <w:lang w:val="en-US" w:eastAsia="zh-CN" w:bidi="ar-SA"/>
                    </w:rPr>
                  </w:pPr>
                </w:p>
              </w:tc>
              <w:tc>
                <w:tcPr>
                  <w:tcW w:w="1055" w:type="dxa"/>
                  <w:noWrap w:val="0"/>
                  <w:vAlign w:val="center"/>
                </w:tcPr>
                <w:p>
                  <w:pPr>
                    <w:keepNext w:val="0"/>
                    <w:keepLines w:val="0"/>
                    <w:widowControl/>
                    <w:suppressLineNumbers w:val="0"/>
                    <w:jc w:val="left"/>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化学：重金属</w:t>
                  </w:r>
                </w:p>
                <w:p>
                  <w:pPr>
                    <w:spacing w:line="240" w:lineRule="exact"/>
                    <w:jc w:val="center"/>
                    <w:rPr>
                      <w:rFonts w:hint="default" w:ascii="Times New Roman" w:hAnsi="Times New Roman" w:cs="Times New Roman"/>
                      <w:sz w:val="18"/>
                      <w:szCs w:val="18"/>
                      <w:lang w:eastAsia="zh-CN"/>
                    </w:rPr>
                  </w:pPr>
                </w:p>
              </w:tc>
              <w:tc>
                <w:tcPr>
                  <w:tcW w:w="2400" w:type="dxa"/>
                  <w:noWrap w:val="0"/>
                  <w:vAlign w:val="center"/>
                </w:tcPr>
                <w:p>
                  <w:pPr>
                    <w:numPr>
                      <w:ilvl w:val="0"/>
                      <w:numId w:val="3"/>
                    </w:numPr>
                    <w:jc w:val="left"/>
                    <w:rPr>
                      <w:rFonts w:hint="default" w:ascii="Times New Roman" w:hAnsi="Times New Roman" w:cs="Times New Roman"/>
                      <w:sz w:val="18"/>
                      <w:szCs w:val="18"/>
                      <w:lang w:val="en-US" w:eastAsia="zh-CN"/>
                    </w:rPr>
                  </w:pPr>
                  <w:r>
                    <w:rPr>
                      <w:rFonts w:hint="default" w:ascii="Times New Roman" w:hAnsi="Times New Roman" w:eastAsia="宋体" w:cs="Times New Roman"/>
                      <w:kern w:val="2"/>
                      <w:sz w:val="18"/>
                      <w:szCs w:val="18"/>
                      <w:highlight w:val="none"/>
                      <w:lang w:val="en-US" w:eastAsia="zh-CN" w:bidi="ar-SA"/>
                    </w:rPr>
                    <w:t>二氧化硫残留量≤0.03g/kg；b)铅（Pb）≤0.2mg/kg；c)铝的残留量（Al）:不得使用、</w:t>
                  </w:r>
                </w:p>
              </w:tc>
              <w:tc>
                <w:tcPr>
                  <w:tcW w:w="2434" w:type="dxa"/>
                  <w:noWrap w:val="0"/>
                  <w:vAlign w:val="center"/>
                </w:tcPr>
                <w:p>
                  <w:pPr>
                    <w:pStyle w:val="3"/>
                    <w:ind w:left="0" w:leftChars="0" w:firstLine="0" w:firstLineChars="0"/>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原料验收员每批查验供方报告</w:t>
                  </w:r>
                  <w:r>
                    <w:rPr>
                      <w:rFonts w:hint="eastAsia" w:ascii="Times New Roman" w:hAnsi="Times New Roman" w:cs="Times New Roman"/>
                      <w:sz w:val="18"/>
                      <w:szCs w:val="18"/>
                      <w:highlight w:val="none"/>
                      <w:lang w:val="en-US" w:eastAsia="zh-CN"/>
                    </w:rPr>
                    <w:t>【策划频次不合理，已现场沟通】</w:t>
                  </w:r>
                </w:p>
              </w:tc>
              <w:tc>
                <w:tcPr>
                  <w:tcW w:w="1320" w:type="dxa"/>
                  <w:noWrap w:val="0"/>
                  <w:vAlign w:val="center"/>
                </w:tcPr>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供方第三方检验报告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1" w:hRule="atLeast"/>
              </w:trPr>
              <w:tc>
                <w:tcPr>
                  <w:tcW w:w="795" w:type="dxa"/>
                  <w:vMerge w:val="continue"/>
                  <w:noWrap w:val="0"/>
                  <w:vAlign w:val="top"/>
                </w:tcPr>
                <w:p>
                  <w:pPr>
                    <w:spacing w:line="360" w:lineRule="auto"/>
                    <w:ind w:left="210" w:hanging="180" w:hangingChars="100"/>
                    <w:rPr>
                      <w:rFonts w:hint="default" w:ascii="Times New Roman" w:hAnsi="Times New Roman" w:eastAsia="宋体" w:cs="Times New Roman"/>
                      <w:kern w:val="2"/>
                      <w:sz w:val="18"/>
                      <w:szCs w:val="18"/>
                      <w:lang w:val="en-US" w:eastAsia="zh-CN" w:bidi="ar-SA"/>
                    </w:rPr>
                  </w:pPr>
                </w:p>
              </w:tc>
              <w:tc>
                <w:tcPr>
                  <w:tcW w:w="813" w:type="dxa"/>
                  <w:vMerge w:val="continue"/>
                  <w:noWrap w:val="0"/>
                  <w:vAlign w:val="top"/>
                </w:tcPr>
                <w:p>
                  <w:pPr>
                    <w:spacing w:line="360" w:lineRule="auto"/>
                    <w:rPr>
                      <w:rFonts w:hint="default" w:ascii="Times New Roman" w:hAnsi="Times New Roman" w:eastAsia="宋体" w:cs="Times New Roman"/>
                      <w:kern w:val="2"/>
                      <w:sz w:val="18"/>
                      <w:szCs w:val="18"/>
                      <w:lang w:val="en-US" w:eastAsia="zh-CN" w:bidi="ar-SA"/>
                    </w:rPr>
                  </w:pPr>
                </w:p>
              </w:tc>
              <w:tc>
                <w:tcPr>
                  <w:tcW w:w="1055" w:type="dxa"/>
                  <w:noWrap w:val="0"/>
                  <w:vAlign w:val="center"/>
                </w:tcPr>
                <w:p>
                  <w:pPr>
                    <w:keepNext w:val="0"/>
                    <w:keepLines w:val="0"/>
                    <w:widowControl/>
                    <w:suppressLineNumbers w:val="0"/>
                    <w:jc w:val="left"/>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化学：掺杂掺假</w:t>
                  </w:r>
                </w:p>
                <w:p>
                  <w:pPr>
                    <w:spacing w:line="360" w:lineRule="auto"/>
                    <w:rPr>
                      <w:rFonts w:hint="default" w:ascii="Times New Roman" w:hAnsi="Times New Roman" w:eastAsia="宋体" w:cs="Times New Roman"/>
                      <w:kern w:val="2"/>
                      <w:sz w:val="18"/>
                      <w:szCs w:val="18"/>
                      <w:highlight w:val="none"/>
                      <w:lang w:val="en-US" w:eastAsia="zh-CN" w:bidi="ar-SA"/>
                    </w:rPr>
                  </w:pPr>
                </w:p>
              </w:tc>
              <w:tc>
                <w:tcPr>
                  <w:tcW w:w="2400" w:type="dxa"/>
                  <w:noWrap w:val="0"/>
                  <w:vAlign w:val="center"/>
                </w:tcPr>
                <w:p>
                  <w:pPr>
                    <w:numPr>
                      <w:ilvl w:val="0"/>
                      <w:numId w:val="0"/>
                    </w:numPr>
                    <w:jc w:val="left"/>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d)水分≤15.0%；e)灰分（干基）≤0.35%；f)蛋白质（干基）≤ 0.2%；g)斑点≤7个/cm2；h)细度，150μm（100目）筛通过率质量分数≥99.05；i)白度，457nm蓝光反射率≥78.0%；j)粘度，6%（干物质计），700cmg≥ 500BU；k)pH值：6.0-8.0；</w:t>
                  </w:r>
                </w:p>
              </w:tc>
              <w:tc>
                <w:tcPr>
                  <w:tcW w:w="2434" w:type="dxa"/>
                  <w:noWrap w:val="0"/>
                  <w:vAlign w:val="center"/>
                </w:tcPr>
                <w:p>
                  <w:pPr>
                    <w:spacing w:line="320" w:lineRule="exact"/>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化验室检测员</w:t>
                  </w:r>
                  <w:r>
                    <w:rPr>
                      <w:rFonts w:hint="default" w:ascii="Times New Roman" w:hAnsi="Times New Roman" w:cs="Times New Roman"/>
                      <w:kern w:val="2"/>
                      <w:sz w:val="18"/>
                      <w:szCs w:val="18"/>
                      <w:highlight w:val="none"/>
                      <w:lang w:val="en-US" w:eastAsia="zh-CN" w:bidi="ar-SA"/>
                    </w:rPr>
                    <w:t>每批检验验收</w:t>
                  </w:r>
                </w:p>
              </w:tc>
              <w:tc>
                <w:tcPr>
                  <w:tcW w:w="1320" w:type="dxa"/>
                  <w:noWrap w:val="0"/>
                  <w:vAlign w:val="center"/>
                </w:tcPr>
                <w:p>
                  <w:pPr>
                    <w:spacing w:line="360" w:lineRule="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kern w:val="2"/>
                      <w:sz w:val="18"/>
                      <w:szCs w:val="18"/>
                      <w:highlight w:val="none"/>
                      <w:lang w:val="en-US" w:eastAsia="zh-CN" w:bidi="ar-SA"/>
                    </w:rPr>
                    <w:t>《</w:t>
                  </w:r>
                  <w:r>
                    <w:rPr>
                      <w:rFonts w:hint="default" w:ascii="Times New Roman" w:hAnsi="Times New Roman" w:eastAsia="宋体" w:cs="Times New Roman"/>
                      <w:kern w:val="2"/>
                      <w:sz w:val="18"/>
                      <w:szCs w:val="18"/>
                      <w:highlight w:val="none"/>
                      <w:lang w:val="en-US" w:eastAsia="zh-CN" w:bidi="ar-SA"/>
                    </w:rPr>
                    <w:t>淀粉检验记录</w:t>
                  </w:r>
                  <w:r>
                    <w:rPr>
                      <w:rFonts w:hint="default" w:ascii="Times New Roman" w:hAnsi="Times New Roman" w:cs="Times New Roman"/>
                      <w:kern w:val="2"/>
                      <w:sz w:val="18"/>
                      <w:szCs w:val="18"/>
                      <w:highlight w:val="none"/>
                      <w:lang w:val="en-US" w:eastAsia="zh-CN" w:bidi="ar-SA"/>
                    </w:rPr>
                    <w:t>》</w:t>
                  </w:r>
                  <w:r>
                    <w:rPr>
                      <w:rFonts w:hint="default" w:ascii="Times New Roman" w:hAnsi="Times New Roman" w:eastAsia="宋体" w:cs="Times New Roman"/>
                      <w:kern w:val="2"/>
                      <w:sz w:val="18"/>
                      <w:szCs w:val="18"/>
                      <w:highlight w:val="none"/>
                      <w:lang w:val="en-US" w:eastAsia="zh-CN" w:bidi="ar-SA"/>
                    </w:rPr>
                    <w:t xml:space="preserve"> </w:t>
                  </w:r>
                  <w:r>
                    <w:rPr>
                      <w:rFonts w:hint="default" w:ascii="Times New Roman" w:hAnsi="Times New Roman" w:cs="Times New Roman"/>
                      <w:kern w:val="2"/>
                      <w:sz w:val="18"/>
                      <w:szCs w:val="18"/>
                      <w:highlight w:val="none"/>
                      <w:lang w:val="en-US" w:eastAsia="zh-CN" w:bidi="ar-SA"/>
                    </w:rPr>
                    <w:t>《</w:t>
                  </w:r>
                  <w:r>
                    <w:rPr>
                      <w:rFonts w:hint="default" w:ascii="Times New Roman" w:hAnsi="Times New Roman" w:eastAsia="宋体" w:cs="Times New Roman"/>
                      <w:kern w:val="2"/>
                      <w:sz w:val="18"/>
                      <w:szCs w:val="18"/>
                      <w:highlight w:val="none"/>
                      <w:lang w:val="en-US" w:eastAsia="zh-CN" w:bidi="ar-SA"/>
                    </w:rPr>
                    <w:t>检验报告</w:t>
                  </w:r>
                  <w:r>
                    <w:rPr>
                      <w:rFonts w:hint="default" w:ascii="Times New Roman" w:hAnsi="Times New Roman" w:cs="Times New Roman"/>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keepNext w:val="0"/>
                    <w:keepLines w:val="0"/>
                    <w:widowControl/>
                    <w:suppressLineNumbers w:val="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CCP4</w:t>
                  </w:r>
                </w:p>
              </w:tc>
              <w:tc>
                <w:tcPr>
                  <w:tcW w:w="813" w:type="dxa"/>
                  <w:noWrap w:val="0"/>
                  <w:vAlign w:val="top"/>
                </w:tcPr>
                <w:p>
                  <w:pPr>
                    <w:keepNext w:val="0"/>
                    <w:keepLines w:val="0"/>
                    <w:widowControl/>
                    <w:suppressLineNumbers w:val="0"/>
                    <w:jc w:val="left"/>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烘干</w:t>
                  </w:r>
                </w:p>
                <w:p>
                  <w:pPr>
                    <w:keepNext w:val="0"/>
                    <w:keepLines w:val="0"/>
                    <w:widowControl/>
                    <w:suppressLineNumbers w:val="0"/>
                    <w:jc w:val="left"/>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（粉饼）</w:t>
                  </w:r>
                </w:p>
              </w:tc>
              <w:tc>
                <w:tcPr>
                  <w:tcW w:w="1055" w:type="dxa"/>
                  <w:noWrap w:val="0"/>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生物：微生物超标</w:t>
                  </w:r>
                </w:p>
              </w:tc>
              <w:tc>
                <w:tcPr>
                  <w:tcW w:w="2400" w:type="dxa"/>
                  <w:noWrap w:val="0"/>
                  <w:vAlign w:val="center"/>
                </w:tcPr>
                <w:p>
                  <w:pPr>
                    <w:pStyle w:val="2"/>
                    <w:rPr>
                      <w:rFonts w:hint="default" w:ascii="Times New Roman" w:hAnsi="Times New Roman" w:cs="Times New Roman"/>
                      <w:sz w:val="18"/>
                      <w:szCs w:val="18"/>
                      <w:lang w:eastAsia="zh-CN"/>
                    </w:rPr>
                  </w:pPr>
                  <w:r>
                    <w:rPr>
                      <w:rFonts w:hint="default" w:ascii="Times New Roman" w:hAnsi="Times New Roman" w:cs="Times New Roman" w:eastAsiaTheme="minorEastAsia"/>
                      <w:color w:val="000000"/>
                      <w:spacing w:val="-10"/>
                      <w:kern w:val="2"/>
                      <w:sz w:val="18"/>
                      <w:szCs w:val="18"/>
                      <w:highlight w:val="none"/>
                      <w:lang w:val="en-US" w:eastAsia="zh-CN" w:bidi="ar-SA"/>
                    </w:rPr>
                    <w:t>南一室烘干温度26-40℃，湿度在45-60%,气压3-4mpa；南二室烘干温度35-46℃、湿度在40-55%，气压2-4mpa；南三室烘干温度30-40℃，湿度在20-35℃，气压2-2.5mpa。北一室烘干温度30-45℃，湿度在40-55%，气压3-4mpa；北二室烘干温度35-46℃、湿度在45-60%，气压2-4mpa；北三室烘干温度30-40℃，湿度20-38℃，气压2-2.5mpa;</w:t>
                  </w:r>
                </w:p>
              </w:tc>
              <w:tc>
                <w:tcPr>
                  <w:tcW w:w="2434" w:type="dxa"/>
                  <w:noWrap w:val="0"/>
                  <w:vAlign w:val="center"/>
                </w:tcPr>
                <w:p>
                  <w:pPr>
                    <w:keepNext w:val="0"/>
                    <w:keepLines w:val="0"/>
                    <w:widowControl/>
                    <w:suppressLineNumbers w:val="0"/>
                    <w:jc w:val="left"/>
                    <w:rPr>
                      <w:rFonts w:hint="default" w:ascii="Times New Roman" w:hAnsi="Times New Roman" w:cs="Times New Roman"/>
                      <w:sz w:val="18"/>
                      <w:szCs w:val="18"/>
                      <w:lang w:val="en-US" w:eastAsia="zh-CN"/>
                    </w:rPr>
                  </w:pPr>
                  <w:r>
                    <w:rPr>
                      <w:rFonts w:hint="default" w:ascii="Times New Roman" w:hAnsi="Times New Roman" w:eastAsia="宋体" w:cs="Times New Roman"/>
                      <w:color w:val="000000"/>
                      <w:kern w:val="0"/>
                      <w:sz w:val="18"/>
                      <w:szCs w:val="18"/>
                      <w:lang w:val="en-US" w:eastAsia="zh-CN" w:bidi="ar"/>
                    </w:rPr>
                    <w:t>烘干段操作人员每 2 小时记录一次烘干室温度、湿度</w:t>
                  </w:r>
                </w:p>
              </w:tc>
              <w:tc>
                <w:tcPr>
                  <w:tcW w:w="1320" w:type="dxa"/>
                  <w:noWrap w:val="0"/>
                  <w:vAlign w:val="center"/>
                </w:tcPr>
                <w:p>
                  <w:pPr>
                    <w:spacing w:line="36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《烘干段操作记录》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spacing w:line="360" w:lineRule="auto"/>
                    <w:ind w:left="180" w:leftChars="0" w:hanging="180" w:hangingChars="10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CCP5</w:t>
                  </w:r>
                </w:p>
              </w:tc>
              <w:tc>
                <w:tcPr>
                  <w:tcW w:w="813" w:type="dxa"/>
                  <w:noWrap w:val="0"/>
                  <w:vAlign w:val="top"/>
                </w:tcPr>
                <w:p>
                  <w:pPr>
                    <w:spacing w:line="360" w:lineRule="auto"/>
                    <w:rPr>
                      <w:rFonts w:hint="default"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烘干（粉条）</w:t>
                  </w:r>
                </w:p>
              </w:tc>
              <w:tc>
                <w:tcPr>
                  <w:tcW w:w="1055" w:type="dxa"/>
                  <w:noWrap w:val="0"/>
                  <w:vAlign w:val="center"/>
                </w:tcPr>
                <w:p>
                  <w:pPr>
                    <w:spacing w:line="360" w:lineRule="auto"/>
                    <w:rPr>
                      <w:rFonts w:hint="default"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生物：微生物超标</w:t>
                  </w:r>
                </w:p>
              </w:tc>
              <w:tc>
                <w:tcPr>
                  <w:tcW w:w="2400" w:type="dxa"/>
                  <w:noWrap w:val="0"/>
                  <w:vAlign w:val="center"/>
                </w:tcPr>
                <w:p>
                  <w:pPr>
                    <w:jc w:val="left"/>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1#风机37℃-55℃，2#风机37℃-55℃，3#37℃-55℃</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4#38℃-55℃， 5#36℃-55℃，6#36℃-55℃，7#38℃-55℃， 8#38℃-55℃，9#38℃-55℃，</w:t>
                  </w:r>
                  <w:r>
                    <w:rPr>
                      <w:rFonts w:hint="default" w:ascii="Times New Roman" w:hAnsi="Times New Roman" w:cs="Times New Roman"/>
                      <w:sz w:val="18"/>
                      <w:szCs w:val="18"/>
                      <w:lang w:val="en-US" w:eastAsia="zh-CN"/>
                    </w:rPr>
                    <w:t>1</w:t>
                  </w:r>
                  <w:r>
                    <w:rPr>
                      <w:rFonts w:hint="default" w:ascii="Times New Roman" w:hAnsi="Times New Roman" w:cs="Times New Roman"/>
                      <w:sz w:val="18"/>
                      <w:szCs w:val="18"/>
                      <w:lang w:eastAsia="zh-CN"/>
                    </w:rPr>
                    <w:t>0#38℃-55℃</w:t>
                  </w:r>
                  <w:r>
                    <w:rPr>
                      <w:rFonts w:hint="default" w:ascii="Times New Roman" w:hAnsi="Times New Roman" w:cs="Times New Roman"/>
                      <w:sz w:val="18"/>
                      <w:szCs w:val="18"/>
                      <w:lang w:val="en-US" w:eastAsia="zh-CN"/>
                    </w:rPr>
                    <w:t>;</w:t>
                  </w:r>
                </w:p>
              </w:tc>
              <w:tc>
                <w:tcPr>
                  <w:tcW w:w="2434" w:type="dxa"/>
                  <w:noWrap w:val="0"/>
                  <w:vAlign w:val="center"/>
                </w:tcPr>
                <w:p>
                  <w:pPr>
                    <w:spacing w:line="360" w:lineRule="auto"/>
                    <w:rPr>
                      <w:rFonts w:hint="default" w:ascii="Times New Roman" w:hAnsi="Times New Roman" w:cs="Times New Roman"/>
                      <w:sz w:val="18"/>
                      <w:szCs w:val="18"/>
                      <w:lang w:val="en-US" w:eastAsia="zh-CN"/>
                    </w:rPr>
                  </w:pPr>
                  <w:r>
                    <w:rPr>
                      <w:rFonts w:hint="default" w:ascii="Times New Roman" w:hAnsi="Times New Roman" w:eastAsia="宋体" w:cs="Times New Roman"/>
                      <w:color w:val="000000"/>
                      <w:kern w:val="0"/>
                      <w:sz w:val="18"/>
                      <w:szCs w:val="18"/>
                      <w:lang w:val="en-US" w:eastAsia="zh-CN" w:bidi="ar"/>
                    </w:rPr>
                    <w:t>烘干段操作人员每 2 小时记录一次风机温度</w:t>
                  </w:r>
                </w:p>
              </w:tc>
              <w:tc>
                <w:tcPr>
                  <w:tcW w:w="1320" w:type="dxa"/>
                  <w:noWrap w:val="0"/>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lang w:eastAsia="zh-CN"/>
                    </w:rPr>
                    <w:t>《烘干段操作记录》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1" w:hRule="atLeast"/>
              </w:trPr>
              <w:tc>
                <w:tcPr>
                  <w:tcW w:w="795" w:type="dxa"/>
                  <w:noWrap w:val="0"/>
                  <w:vAlign w:val="top"/>
                </w:tcPr>
                <w:p>
                  <w:pPr>
                    <w:spacing w:line="360" w:lineRule="auto"/>
                    <w:ind w:left="180" w:leftChars="0" w:hanging="180" w:hangingChars="10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CCP6</w:t>
                  </w:r>
                </w:p>
              </w:tc>
              <w:tc>
                <w:tcPr>
                  <w:tcW w:w="813" w:type="dxa"/>
                  <w:noWrap w:val="0"/>
                  <w:vAlign w:val="top"/>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烘干（粉条）</w:t>
                  </w:r>
                </w:p>
              </w:tc>
              <w:tc>
                <w:tcPr>
                  <w:tcW w:w="1055" w:type="dxa"/>
                  <w:noWrap w:val="0"/>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生物：微生物超标</w:t>
                  </w:r>
                </w:p>
              </w:tc>
              <w:tc>
                <w:tcPr>
                  <w:tcW w:w="2400" w:type="dxa"/>
                  <w:noWrap w:val="0"/>
                  <w:vAlign w:val="center"/>
                </w:tcPr>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烘箱速度 17-18HZ；热交换器压力 0.4mpa 左右；蒸汽管道压力0.3-0.5mpa；蒸箱温度90-110℃；1-8 号风机温度 40℃-130℃</w:t>
                  </w:r>
                </w:p>
              </w:tc>
              <w:tc>
                <w:tcPr>
                  <w:tcW w:w="2434" w:type="dxa"/>
                  <w:noWrap w:val="0"/>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烘干段操作人员每 2 小时记录一次温度</w:t>
                  </w:r>
                </w:p>
              </w:tc>
              <w:tc>
                <w:tcPr>
                  <w:tcW w:w="1320" w:type="dxa"/>
                  <w:noWrap w:val="0"/>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《烘干段操作记录》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spacing w:line="360" w:lineRule="auto"/>
                    <w:ind w:left="160" w:leftChars="0" w:hanging="160" w:hangingChars="10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CCP7</w:t>
                  </w:r>
                </w:p>
              </w:tc>
              <w:tc>
                <w:tcPr>
                  <w:tcW w:w="813" w:type="dxa"/>
                  <w:noWrap w:val="0"/>
                  <w:vAlign w:val="top"/>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金属探测</w:t>
                  </w:r>
                </w:p>
              </w:tc>
              <w:tc>
                <w:tcPr>
                  <w:tcW w:w="1055" w:type="dxa"/>
                  <w:noWrap w:val="0"/>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物理：金属杂质</w:t>
                  </w:r>
                </w:p>
              </w:tc>
              <w:tc>
                <w:tcPr>
                  <w:tcW w:w="2400" w:type="dxa"/>
                  <w:noWrap w:val="0"/>
                  <w:vAlign w:val="center"/>
                </w:tcPr>
                <w:p>
                  <w:pPr>
                    <w:pStyle w:val="2"/>
                    <w:rPr>
                      <w:rFonts w:hint="default" w:ascii="Times New Roman" w:hAnsi="Times New Roman" w:cs="Times New Roman"/>
                      <w:sz w:val="18"/>
                      <w:szCs w:val="18"/>
                      <w:lang w:eastAsia="zh-CN"/>
                    </w:rPr>
                  </w:pPr>
                  <w:r>
                    <w:rPr>
                      <w:rFonts w:hint="default" w:ascii="Times New Roman" w:hAnsi="Times New Roman" w:cs="Times New Roman" w:eastAsiaTheme="minorEastAsia"/>
                      <w:color w:val="000000"/>
                      <w:spacing w:val="-10"/>
                      <w:kern w:val="2"/>
                      <w:sz w:val="18"/>
                      <w:szCs w:val="18"/>
                      <w:highlight w:val="none"/>
                      <w:lang w:val="en-US" w:eastAsia="zh-CN" w:bidi="ar-SA"/>
                    </w:rPr>
                    <w:t>_Fe: φ1.5mm ， Sus:φ2.0mm，N-Fe:φ1.5mm 通过能检出;</w:t>
                  </w:r>
                </w:p>
              </w:tc>
              <w:tc>
                <w:tcPr>
                  <w:tcW w:w="2434" w:type="dxa"/>
                  <w:noWrap w:val="0"/>
                  <w:vAlign w:val="center"/>
                </w:tcPr>
                <w:p>
                  <w:pPr>
                    <w:spacing w:line="360" w:lineRule="auto"/>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金属探测操作员每2 小时测试一次【建议增加首次开机时、停机再启动时】</w:t>
                  </w:r>
                </w:p>
              </w:tc>
              <w:tc>
                <w:tcPr>
                  <w:tcW w:w="1320" w:type="dxa"/>
                  <w:noWrap w:val="0"/>
                  <w:vAlign w:val="center"/>
                </w:tcPr>
                <w:p>
                  <w:pPr>
                    <w:spacing w:line="36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《金属探测器监控记录》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608" w:type="dxa"/>
                  <w:gridSpan w:val="2"/>
                  <w:noWrap w:val="0"/>
                  <w:vAlign w:val="center"/>
                </w:tcPr>
                <w:p>
                  <w:pPr>
                    <w:spacing w:line="320" w:lineRule="exact"/>
                    <w:jc w:val="center"/>
                    <w:rPr>
                      <w:rFonts w:hint="default" w:ascii="Times New Roman" w:hAnsi="Times New Roman" w:cs="Times New Roman"/>
                      <w:sz w:val="18"/>
                      <w:szCs w:val="18"/>
                      <w:highlight w:val="none"/>
                    </w:rPr>
                  </w:pPr>
                </w:p>
              </w:tc>
              <w:tc>
                <w:tcPr>
                  <w:tcW w:w="1055" w:type="dxa"/>
                  <w:noWrap w:val="0"/>
                  <w:vAlign w:val="center"/>
                </w:tcPr>
                <w:p>
                  <w:pPr>
                    <w:spacing w:line="320" w:lineRule="exact"/>
                    <w:jc w:val="center"/>
                    <w:rPr>
                      <w:rFonts w:hint="default" w:ascii="Times New Roman" w:hAnsi="Times New Roman" w:cs="Times New Roman"/>
                      <w:sz w:val="18"/>
                      <w:szCs w:val="18"/>
                      <w:highlight w:val="none"/>
                    </w:rPr>
                  </w:pPr>
                </w:p>
              </w:tc>
              <w:tc>
                <w:tcPr>
                  <w:tcW w:w="2400" w:type="dxa"/>
                  <w:noWrap w:val="0"/>
                  <w:vAlign w:val="center"/>
                </w:tcPr>
                <w:p>
                  <w:pPr>
                    <w:spacing w:line="320" w:lineRule="exact"/>
                    <w:rPr>
                      <w:rFonts w:hint="default" w:ascii="Times New Roman" w:hAnsi="Times New Roman" w:cs="Times New Roman"/>
                      <w:sz w:val="18"/>
                      <w:szCs w:val="18"/>
                      <w:highlight w:val="none"/>
                    </w:rPr>
                  </w:pPr>
                </w:p>
              </w:tc>
              <w:tc>
                <w:tcPr>
                  <w:tcW w:w="2434" w:type="dxa"/>
                  <w:noWrap w:val="0"/>
                  <w:vAlign w:val="center"/>
                </w:tcPr>
                <w:p>
                  <w:pPr>
                    <w:spacing w:line="320" w:lineRule="exact"/>
                    <w:rPr>
                      <w:rFonts w:hint="default" w:ascii="Times New Roman" w:hAnsi="Times New Roman" w:eastAsia="宋体" w:cs="Times New Roman"/>
                      <w:sz w:val="18"/>
                      <w:szCs w:val="18"/>
                      <w:highlight w:val="none"/>
                      <w:lang w:val="en-US" w:eastAsia="zh-CN"/>
                    </w:rPr>
                  </w:pPr>
                </w:p>
              </w:tc>
              <w:tc>
                <w:tcPr>
                  <w:tcW w:w="1320" w:type="dxa"/>
                  <w:noWrap w:val="0"/>
                  <w:vAlign w:val="center"/>
                </w:tcPr>
                <w:p>
                  <w:pPr>
                    <w:spacing w:line="320" w:lineRule="exact"/>
                    <w:rPr>
                      <w:rFonts w:hint="default" w:ascii="Times New Roman" w:hAnsi="Times New Roman" w:eastAsia="宋体" w:cs="Times New Roman"/>
                      <w:sz w:val="18"/>
                      <w:szCs w:val="18"/>
                      <w:highlight w:val="none"/>
                      <w:lang w:val="en-US" w:eastAsia="zh-CN"/>
                    </w:rPr>
                  </w:pPr>
                </w:p>
              </w:tc>
            </w:tr>
          </w:tbl>
          <w:p>
            <w:pPr>
              <w:pStyle w:val="3"/>
              <w:rPr>
                <w:rFonts w:hint="eastAsia"/>
              </w:rPr>
            </w:pPr>
          </w:p>
          <w:p>
            <w:pPr>
              <w:pStyle w:val="3"/>
              <w:rPr>
                <w:rFonts w:hint="default" w:eastAsia="宋体"/>
                <w:sz w:val="22"/>
                <w:szCs w:val="22"/>
                <w:lang w:val="en-US" w:eastAsia="zh-CN"/>
              </w:rPr>
            </w:pPr>
            <w:r>
              <w:rPr>
                <w:rFonts w:hint="eastAsia"/>
                <w:sz w:val="22"/>
                <w:szCs w:val="22"/>
                <w:lang w:val="en-US" w:eastAsia="zh-CN"/>
              </w:rPr>
              <w:t>一阶段问题：</w:t>
            </w:r>
            <w:r>
              <w:rPr>
                <w:rFonts w:hint="eastAsia"/>
                <w:color w:val="000000"/>
                <w:sz w:val="21"/>
                <w:szCs w:val="21"/>
              </w:rPr>
              <w:t>现场金探仪所使用测试片为铁φ1</w:t>
            </w:r>
            <w:r>
              <w:rPr>
                <w:color w:val="000000"/>
                <w:sz w:val="21"/>
                <w:szCs w:val="21"/>
              </w:rPr>
              <w:t>.5</w:t>
            </w:r>
            <w:r>
              <w:rPr>
                <w:rFonts w:hint="eastAsia"/>
                <w:color w:val="000000"/>
                <w:sz w:val="21"/>
                <w:szCs w:val="21"/>
              </w:rPr>
              <w:t>、不锈钢φ</w:t>
            </w:r>
            <w:r>
              <w:rPr>
                <w:color w:val="000000"/>
                <w:sz w:val="21"/>
                <w:szCs w:val="21"/>
              </w:rPr>
              <w:t>2.0</w:t>
            </w:r>
            <w:r>
              <w:rPr>
                <w:rFonts w:hint="eastAsia"/>
                <w:color w:val="000000"/>
                <w:sz w:val="21"/>
                <w:szCs w:val="21"/>
              </w:rPr>
              <w:t>、非铁φ2</w:t>
            </w:r>
            <w:r>
              <w:rPr>
                <w:color w:val="000000"/>
                <w:sz w:val="21"/>
                <w:szCs w:val="21"/>
              </w:rPr>
              <w:t>.0</w:t>
            </w:r>
            <w:r>
              <w:rPr>
                <w:rFonts w:hint="eastAsia"/>
                <w:color w:val="000000"/>
                <w:sz w:val="21"/>
                <w:szCs w:val="21"/>
              </w:rPr>
              <w:t>，与H</w:t>
            </w:r>
            <w:r>
              <w:rPr>
                <w:color w:val="000000"/>
                <w:sz w:val="21"/>
                <w:szCs w:val="21"/>
              </w:rPr>
              <w:t>ACCP</w:t>
            </w:r>
            <w:r>
              <w:rPr>
                <w:rFonts w:hint="eastAsia"/>
                <w:color w:val="000000"/>
                <w:sz w:val="21"/>
                <w:szCs w:val="21"/>
              </w:rPr>
              <w:t>计划中不一致</w:t>
            </w:r>
            <w:r>
              <w:rPr>
                <w:rFonts w:hint="eastAsia"/>
                <w:color w:val="000000"/>
                <w:sz w:val="21"/>
                <w:szCs w:val="21"/>
                <w:lang w:eastAsia="zh-CN"/>
              </w:rPr>
              <w:t>，</w:t>
            </w:r>
            <w:r>
              <w:rPr>
                <w:rFonts w:hint="eastAsia"/>
                <w:color w:val="000000"/>
                <w:sz w:val="21"/>
                <w:szCs w:val="21"/>
                <w:lang w:val="en-US" w:eastAsia="zh-CN"/>
              </w:rPr>
              <w:t>经验证已整改。</w:t>
            </w:r>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057" w:hRule="atLeast"/>
        </w:trPr>
        <w:tc>
          <w:tcPr>
            <w:tcW w:w="2128" w:type="dxa"/>
            <w:gridSpan w:val="2"/>
            <w:vMerge w:val="continue"/>
            <w:shd w:val="clear" w:color="auto" w:fill="auto"/>
          </w:tcPr>
          <w:p/>
        </w:tc>
        <w:tc>
          <w:tcPr>
            <w:tcW w:w="994" w:type="dxa"/>
            <w:shd w:val="clear" w:color="auto" w:fill="auto"/>
          </w:tcPr>
          <w:p>
            <w:r>
              <w:rPr>
                <w:rFonts w:hint="eastAsia"/>
              </w:rPr>
              <w:t>8.5.4.4 超出关键限值或行动限值采取的措施</w:t>
            </w:r>
          </w:p>
          <w:p/>
        </w:tc>
        <w:tc>
          <w:tcPr>
            <w:tcW w:w="745" w:type="dxa"/>
            <w:gridSpan w:val="2"/>
            <w:shd w:val="clear" w:color="auto" w:fill="auto"/>
          </w:tcPr>
          <w:p/>
        </w:tc>
        <w:tc>
          <w:tcPr>
            <w:tcW w:w="9277" w:type="dxa"/>
            <w:gridSpan w:val="2"/>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68"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334" w:hRule="atLeast"/>
        </w:trPr>
        <w:tc>
          <w:tcPr>
            <w:tcW w:w="2128" w:type="dxa"/>
            <w:gridSpan w:val="2"/>
            <w:vMerge w:val="continue"/>
            <w:shd w:val="clear" w:color="auto" w:fill="auto"/>
          </w:tcPr>
          <w:p/>
        </w:tc>
        <w:tc>
          <w:tcPr>
            <w:tcW w:w="994" w:type="dxa"/>
            <w:shd w:val="clear" w:color="auto" w:fill="auto"/>
          </w:tcPr>
          <w:p>
            <w:r>
              <w:rPr>
                <w:rFonts w:hint="eastAsia"/>
              </w:rPr>
              <w:t>8.5.4.5实施危害控制计划</w:t>
            </w:r>
          </w:p>
          <w:p/>
        </w:tc>
        <w:tc>
          <w:tcPr>
            <w:tcW w:w="745" w:type="dxa"/>
            <w:gridSpan w:val="2"/>
            <w:shd w:val="clear" w:color="auto" w:fill="auto"/>
          </w:tcPr>
          <w:p>
            <w:r>
              <w:rPr>
                <w:rFonts w:hint="eastAsia"/>
              </w:rPr>
              <w:t>现场查看</w:t>
            </w:r>
          </w:p>
        </w:tc>
        <w:tc>
          <w:tcPr>
            <w:tcW w:w="9277" w:type="dxa"/>
            <w:gridSpan w:val="2"/>
            <w:shd w:val="clear" w:color="auto" w:fill="auto"/>
          </w:tcPr>
          <w:p>
            <w:pPr>
              <w:rPr>
                <w:rFonts w:hint="eastAsia"/>
                <w:b/>
                <w:bCs/>
              </w:rPr>
            </w:pPr>
            <w:r>
              <w:rPr>
                <w:rFonts w:hint="eastAsia"/>
              </w:rPr>
              <w:t>OPRP</w:t>
            </w:r>
            <w:r>
              <w:rPr>
                <w:rFonts w:hint="eastAsia"/>
                <w:lang w:val="en-US" w:eastAsia="zh-CN"/>
              </w:rPr>
              <w:t>计划</w:t>
            </w:r>
            <w:r>
              <w:rPr>
                <w:rFonts w:hint="eastAsia"/>
              </w:rPr>
              <w:t>的实施情况：</w:t>
            </w:r>
            <w:r>
              <w:rPr>
                <w:rFonts w:hint="eastAsia"/>
                <w:b/>
                <w:bCs/>
              </w:rPr>
              <w:t xml:space="preserve"> </w:t>
            </w:r>
          </w:p>
          <w:p>
            <w:pPr>
              <w:rPr>
                <w:rFonts w:hint="default" w:eastAsia="宋体"/>
                <w:lang w:val="en-US" w:eastAsia="zh-CN"/>
              </w:rPr>
            </w:pPr>
            <w:r>
              <w:rPr>
                <w:rFonts w:hint="eastAsia"/>
                <w:b/>
                <w:bCs/>
                <w:lang w:eastAsia="zh-CN"/>
              </w:rPr>
              <w:t>“</w:t>
            </w:r>
            <w:r>
              <w:rPr>
                <w:rFonts w:hint="eastAsia"/>
                <w:b/>
                <w:bCs/>
                <w:lang w:val="en-US" w:eastAsia="zh-CN"/>
              </w:rPr>
              <w:t>见生产部审核记录</w:t>
            </w:r>
            <w:r>
              <w:rPr>
                <w:rFonts w:hint="eastAsia"/>
                <w:b/>
                <w:bCs/>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24" w:type="dxa"/>
                </w:tcPr>
                <w:p>
                  <w:r>
                    <w:rPr>
                      <w:rFonts w:hint="eastAsia"/>
                    </w:rP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pPr>
              <w:rPr>
                <w:rFonts w:hint="default" w:eastAsia="宋体"/>
                <w:lang w:val="en-US" w:eastAsia="zh-CN"/>
              </w:rPr>
            </w:pPr>
            <w:r>
              <w:rPr>
                <w:rFonts w:hint="eastAsia"/>
              </w:rPr>
              <w:t>HACCP</w:t>
            </w:r>
            <w:r>
              <w:rPr>
                <w:rFonts w:hint="eastAsia"/>
                <w:lang w:val="en-US" w:eastAsia="zh-CN"/>
              </w:rPr>
              <w:t>计划</w:t>
            </w:r>
            <w:r>
              <w:rPr>
                <w:rFonts w:hint="eastAsia"/>
              </w:rPr>
              <w:t>的实施情况：</w:t>
            </w:r>
            <w:r>
              <w:rPr>
                <w:rFonts w:hint="eastAsia"/>
                <w:lang w:eastAsia="zh-CN"/>
              </w:rPr>
              <w:t>“</w:t>
            </w:r>
            <w:r>
              <w:rPr>
                <w:rFonts w:hint="eastAsia"/>
                <w:lang w:val="en-US" w:eastAsia="zh-CN"/>
              </w:rPr>
              <w:t>见质量管理部、生产部审核记录</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eastAsia="宋体"/>
                      <w:lang w:val="en-US" w:eastAsia="zh-CN"/>
                    </w:rPr>
                  </w:pPr>
                  <w:r>
                    <w:rPr>
                      <w:rFonts w:hint="eastAsia"/>
                      <w:lang w:val="en-US" w:eastAsia="zh-CN"/>
                    </w:rPr>
                    <w:t>CCP3</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lang w:val="en-US" w:eastAsia="zh-CN"/>
                    </w:rPr>
                  </w:pPr>
                  <w:r>
                    <w:rPr>
                      <w:rFonts w:hint="eastAsia"/>
                      <w:lang w:val="en-US" w:eastAsia="zh-CN"/>
                    </w:rPr>
                    <w:t>CCP4</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eastAsia"/>
                      <w:lang w:val="en-US" w:eastAsia="zh-CN"/>
                    </w:rPr>
                  </w:pPr>
                  <w:r>
                    <w:rPr>
                      <w:rFonts w:hint="eastAsia"/>
                      <w:lang w:val="en-US" w:eastAsia="zh-CN"/>
                    </w:rPr>
                    <w:t>CCP4</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lang w:val="en-US" w:eastAsia="zh-CN"/>
                    </w:rPr>
                  </w:pPr>
                  <w:r>
                    <w:rPr>
                      <w:rFonts w:hint="eastAsia"/>
                      <w:lang w:val="en-US" w:eastAsia="zh-CN"/>
                    </w:rPr>
                    <w:t>CCP5</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lang w:val="en-US" w:eastAsia="zh-CN"/>
                    </w:rPr>
                  </w:pPr>
                  <w:r>
                    <w:rPr>
                      <w:rFonts w:hint="eastAsia"/>
                      <w:lang w:val="en-US" w:eastAsia="zh-CN"/>
                    </w:rPr>
                    <w:t>CCP6</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lang w:val="en-US" w:eastAsia="zh-CN"/>
                    </w:rPr>
                  </w:pPr>
                  <w:r>
                    <w:rPr>
                      <w:rFonts w:hint="eastAsia"/>
                      <w:lang w:val="en-US" w:eastAsia="zh-CN"/>
                    </w:rPr>
                    <w:t>CCP7</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pPr>
              <w:rPr>
                <w:rFonts w:hint="default" w:eastAsia="宋体"/>
                <w:lang w:val="en-US" w:eastAsia="zh-CN"/>
              </w:rPr>
            </w:pPr>
          </w:p>
        </w:tc>
        <w:tc>
          <w:tcPr>
            <w:tcW w:w="1568" w:type="dxa"/>
            <w:shd w:val="clear" w:color="auto" w:fill="auto"/>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restart"/>
            <w:shd w:val="clear" w:color="auto" w:fill="auto"/>
          </w:tcPr>
          <w:p>
            <w:r>
              <w:rPr>
                <w:rFonts w:hint="eastAsia"/>
              </w:rPr>
              <w:t>PRP和危害控制计划文件的更新</w:t>
            </w:r>
          </w:p>
        </w:tc>
        <w:tc>
          <w:tcPr>
            <w:tcW w:w="994" w:type="dxa"/>
            <w:vMerge w:val="restart"/>
            <w:shd w:val="clear" w:color="auto" w:fill="auto"/>
          </w:tcPr>
          <w:p>
            <w:r>
              <w:rPr>
                <w:rFonts w:hint="eastAsia"/>
              </w:rPr>
              <w:t>F8.6</w:t>
            </w:r>
          </w:p>
          <w:p/>
        </w:tc>
        <w:tc>
          <w:tcPr>
            <w:tcW w:w="745" w:type="dxa"/>
            <w:gridSpan w:val="2"/>
            <w:shd w:val="clear" w:color="auto" w:fill="auto"/>
          </w:tcPr>
          <w:p>
            <w:r>
              <w:rPr>
                <w:rFonts w:hint="eastAsia"/>
              </w:rPr>
              <w:t>文件名称</w:t>
            </w:r>
          </w:p>
        </w:tc>
        <w:tc>
          <w:tcPr>
            <w:tcW w:w="9277" w:type="dxa"/>
            <w:gridSpan w:val="2"/>
            <w:shd w:val="clear" w:color="auto" w:fill="auto"/>
          </w:tcPr>
          <w:p>
            <w:r>
              <w:rPr>
                <w:rFonts w:hint="eastAsia"/>
              </w:rPr>
              <w:t>如：</w:t>
            </w:r>
            <w:r>
              <w:rPr/>
              <w:sym w:font="Wingdings" w:char="00FE"/>
            </w:r>
            <w:r>
              <w:rPr>
                <w:rFonts w:hint="eastAsia"/>
                <w:lang w:eastAsia="zh-CN"/>
              </w:rPr>
              <w:t>《</w:t>
            </w:r>
            <w:r>
              <w:rPr>
                <w:rFonts w:hint="eastAsia"/>
                <w:lang w:val="en-US" w:eastAsia="zh-CN"/>
              </w:rPr>
              <w:t>质量和食品安全管理手册</w:t>
            </w:r>
            <w:r>
              <w:rPr>
                <w:rFonts w:hint="eastAsia"/>
                <w:lang w:eastAsia="zh-CN"/>
              </w:rPr>
              <w:t>》</w:t>
            </w:r>
            <w:r>
              <w:rPr>
                <w:rFonts w:hint="eastAsia"/>
                <w:lang w:val="en-US" w:eastAsia="zh-CN"/>
              </w:rPr>
              <w:t>8.1.7条款、</w:t>
            </w:r>
            <w:r>
              <w:rPr/>
              <w:sym w:font="Wingdings" w:char="00FE"/>
            </w:r>
            <w:r>
              <w:rPr>
                <w:rFonts w:hint="eastAsia"/>
              </w:rPr>
              <w:t>《文件控制程序》</w:t>
            </w:r>
          </w:p>
        </w:tc>
        <w:tc>
          <w:tcPr>
            <w:tcW w:w="15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274"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77" w:type="dxa"/>
            <w:gridSpan w:val="2"/>
            <w:shd w:val="clear" w:color="auto" w:fill="auto"/>
          </w:tcPr>
          <w:p>
            <w:r>
              <w:rPr>
                <w:rFonts w:hint="eastAsia"/>
              </w:rPr>
              <w:t>制定OPRP计划和（或） HACCP计划后， 组织对如下信息进行更新：</w:t>
            </w:r>
          </w:p>
          <w:p>
            <w:r>
              <w:rPr>
                <w:rFonts w:hint="eastAsia"/>
              </w:rPr>
              <w:sym w:font="Wingdings" w:char="00FE"/>
            </w:r>
            <w:r>
              <w:rPr>
                <w:rFonts w:hint="eastAsia"/>
              </w:rPr>
              <w:t>体系建立以来未发生</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restart"/>
            <w:shd w:val="clear" w:color="auto" w:fill="auto"/>
          </w:tcPr>
          <w:p>
            <w:r>
              <w:rPr>
                <w:rFonts w:hint="eastAsia"/>
              </w:rPr>
              <w:t>与 PRP、危害控制计划有关的验证</w:t>
            </w:r>
            <w:r>
              <w:rPr>
                <w:rFonts w:hint="eastAsia"/>
              </w:rPr>
              <w:br w:type="textWrapping"/>
            </w:r>
          </w:p>
          <w:p/>
        </w:tc>
        <w:tc>
          <w:tcPr>
            <w:tcW w:w="994" w:type="dxa"/>
            <w:vMerge w:val="restart"/>
            <w:shd w:val="clear" w:color="auto" w:fill="auto"/>
          </w:tcPr>
          <w:p>
            <w:r>
              <w:rPr>
                <w:rFonts w:hint="eastAsia"/>
              </w:rPr>
              <w:t>F8.8.1</w:t>
            </w:r>
          </w:p>
          <w:p/>
        </w:tc>
        <w:tc>
          <w:tcPr>
            <w:tcW w:w="745" w:type="dxa"/>
            <w:gridSpan w:val="2"/>
            <w:shd w:val="clear" w:color="auto" w:fill="auto"/>
          </w:tcPr>
          <w:p>
            <w:r>
              <w:rPr>
                <w:rFonts w:hint="eastAsia"/>
              </w:rPr>
              <w:t>文件名称</w:t>
            </w:r>
          </w:p>
        </w:tc>
        <w:tc>
          <w:tcPr>
            <w:tcW w:w="9277" w:type="dxa"/>
            <w:gridSpan w:val="2"/>
            <w:shd w:val="clear" w:color="auto" w:fill="auto"/>
          </w:tcPr>
          <w:p>
            <w:r>
              <w:rPr>
                <w:rFonts w:hint="eastAsia"/>
              </w:rPr>
              <w:t>如：</w:t>
            </w:r>
            <w:r>
              <w:rPr/>
              <w:sym w:font="Wingdings" w:char="00FE"/>
            </w:r>
            <w:r>
              <w:rPr>
                <w:rFonts w:hint="eastAsia"/>
              </w:rPr>
              <w:t>《确认验证控制程序》</w:t>
            </w:r>
          </w:p>
        </w:tc>
        <w:tc>
          <w:tcPr>
            <w:tcW w:w="1568"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583"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77" w:type="dxa"/>
            <w:gridSpan w:val="2"/>
            <w:shd w:val="clear" w:color="auto" w:fill="auto"/>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17"/>
              <w:gridCol w:w="2213"/>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217" w:type="dxa"/>
                </w:tcPr>
                <w:p>
                  <w:pPr>
                    <w:rPr>
                      <w:szCs w:val="21"/>
                    </w:rPr>
                  </w:pPr>
                  <w:r>
                    <w:rPr>
                      <w:rFonts w:hint="eastAsia"/>
                      <w:szCs w:val="21"/>
                    </w:rPr>
                    <w:t>方法</w:t>
                  </w:r>
                </w:p>
              </w:tc>
              <w:tc>
                <w:tcPr>
                  <w:tcW w:w="2213"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217" w:type="dxa"/>
                </w:tcPr>
                <w:p>
                  <w:pPr>
                    <w:rPr>
                      <w:szCs w:val="21"/>
                    </w:rPr>
                  </w:pPr>
                  <w:r>
                    <w:rPr>
                      <w:rFonts w:hint="eastAsia"/>
                      <w:szCs w:val="21"/>
                    </w:rPr>
                    <w:t>自行检查</w:t>
                  </w:r>
                </w:p>
              </w:tc>
              <w:tc>
                <w:tcPr>
                  <w:tcW w:w="2213" w:type="dxa"/>
                </w:tcPr>
                <w:p>
                  <w:pPr>
                    <w:rPr>
                      <w:szCs w:val="21"/>
                    </w:rPr>
                  </w:pPr>
                  <w:r>
                    <w:rPr>
                      <w:rFonts w:hint="eastAsia" w:ascii="宋体" w:hAnsi="宋体"/>
                      <w:szCs w:val="21"/>
                    </w:rPr>
                    <w:t>首次运行或变更后重新运行时和不超过12个月的时间间隔进行</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5" w:type="dxa"/>
                </w:tcPr>
                <w:p>
                  <w:pPr>
                    <w:rPr>
                      <w:szCs w:val="21"/>
                    </w:rPr>
                  </w:pPr>
                  <w:r>
                    <w:rPr>
                      <w:rFonts w:hint="eastAsia"/>
                      <w:szCs w:val="21"/>
                    </w:rPr>
                    <w:t>危害控制计划实施有效</w:t>
                  </w:r>
                </w:p>
              </w:tc>
              <w:tc>
                <w:tcPr>
                  <w:tcW w:w="1217" w:type="dxa"/>
                </w:tcPr>
                <w:p>
                  <w:pPr>
                    <w:rPr>
                      <w:szCs w:val="21"/>
                    </w:rPr>
                  </w:pPr>
                  <w:r>
                    <w:rPr>
                      <w:rFonts w:hint="eastAsia"/>
                      <w:szCs w:val="21"/>
                    </w:rPr>
                    <w:t>自行检查</w:t>
                  </w:r>
                </w:p>
              </w:tc>
              <w:tc>
                <w:tcPr>
                  <w:tcW w:w="2213" w:type="dxa"/>
                </w:tcPr>
                <w:p>
                  <w:pPr>
                    <w:rPr>
                      <w:szCs w:val="21"/>
                    </w:rPr>
                  </w:pPr>
                  <w:r>
                    <w:rPr>
                      <w:rFonts w:hint="eastAsia"/>
                      <w:szCs w:val="21"/>
                    </w:rPr>
                    <w:t>每年一次</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217" w:type="dxa"/>
                </w:tcPr>
                <w:p>
                  <w:pPr>
                    <w:rPr>
                      <w:szCs w:val="21"/>
                    </w:rPr>
                  </w:pPr>
                  <w:r>
                    <w:rPr>
                      <w:rFonts w:hint="eastAsia"/>
                      <w:szCs w:val="21"/>
                    </w:rPr>
                    <w:t>自行检查</w:t>
                  </w:r>
                </w:p>
                <w:p>
                  <w:pPr>
                    <w:rPr>
                      <w:szCs w:val="21"/>
                    </w:rPr>
                  </w:pPr>
                  <w:r>
                    <w:rPr>
                      <w:rFonts w:hint="eastAsia"/>
                      <w:szCs w:val="21"/>
                    </w:rPr>
                    <w:t>外部送检</w:t>
                  </w:r>
                </w:p>
              </w:tc>
              <w:tc>
                <w:tcPr>
                  <w:tcW w:w="2213" w:type="dxa"/>
                </w:tcPr>
                <w:p>
                  <w:pPr>
                    <w:rPr>
                      <w:szCs w:val="21"/>
                    </w:rPr>
                  </w:pPr>
                  <w:r>
                    <w:rPr>
                      <w:rFonts w:hint="eastAsia"/>
                      <w:szCs w:val="21"/>
                    </w:rPr>
                    <w:t>每年一次</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217" w:type="dxa"/>
                </w:tcPr>
                <w:p>
                  <w:pPr>
                    <w:rPr>
                      <w:szCs w:val="21"/>
                    </w:rPr>
                  </w:pPr>
                  <w:r>
                    <w:rPr>
                      <w:rFonts w:hint="eastAsia"/>
                      <w:szCs w:val="21"/>
                    </w:rPr>
                    <w:t>检查</w:t>
                  </w:r>
                </w:p>
              </w:tc>
              <w:tc>
                <w:tcPr>
                  <w:tcW w:w="2213" w:type="dxa"/>
                </w:tcPr>
                <w:p>
                  <w:pPr>
                    <w:rPr>
                      <w:szCs w:val="21"/>
                    </w:rPr>
                  </w:pPr>
                  <w:r>
                    <w:rPr>
                      <w:rFonts w:hint="eastAsia"/>
                      <w:szCs w:val="21"/>
                    </w:rPr>
                    <w:t>首次运行或变更后重新运行时和不超过12个月的时间间隔进行</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217" w:type="dxa"/>
                </w:tcPr>
                <w:p>
                  <w:pPr>
                    <w:rPr>
                      <w:szCs w:val="21"/>
                    </w:rPr>
                  </w:pPr>
                  <w:r>
                    <w:rPr>
                      <w:rFonts w:hint="eastAsia"/>
                      <w:szCs w:val="21"/>
                    </w:rPr>
                    <w:t>——</w:t>
                  </w:r>
                </w:p>
              </w:tc>
              <w:tc>
                <w:tcPr>
                  <w:tcW w:w="2213" w:type="dxa"/>
                </w:tcPr>
                <w:p>
                  <w:pPr>
                    <w:rPr>
                      <w:rFonts w:hint="eastAsia" w:eastAsia="宋体"/>
                      <w:szCs w:val="21"/>
                      <w:lang w:eastAsia="zh-CN"/>
                    </w:rPr>
                  </w:pPr>
                  <w:r>
                    <w:rPr>
                      <w:rFonts w:hint="eastAsia"/>
                      <w:szCs w:val="21"/>
                      <w:lang w:eastAsia="zh-CN"/>
                    </w:rPr>
                    <w:t>——</w:t>
                  </w:r>
                </w:p>
              </w:tc>
              <w:tc>
                <w:tcPr>
                  <w:tcW w:w="1809" w:type="dxa"/>
                </w:tcPr>
                <w:p>
                  <w:pPr>
                    <w:rPr>
                      <w:rFonts w:hint="eastAsia" w:eastAsia="宋体"/>
                      <w:szCs w:val="21"/>
                      <w:lang w:eastAsia="zh-CN"/>
                    </w:rPr>
                  </w:pPr>
                  <w:r>
                    <w:rPr>
                      <w:rFonts w:hint="eastAsia"/>
                      <w:szCs w:val="21"/>
                      <w:lang w:eastAsia="zh-CN"/>
                    </w:rPr>
                    <w:t>——</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eastAsia"/>
                <w:u w:val="single"/>
              </w:rPr>
            </w:pPr>
            <w:r>
              <w:rPr>
                <w:rFonts w:hint="eastAsia"/>
                <w:u w:val="single"/>
              </w:rPr>
              <w:t>见《验证报告》和《检验报告》</w:t>
            </w:r>
          </w:p>
          <w:p>
            <w:pPr>
              <w:pStyle w:val="3"/>
            </w:pPr>
          </w:p>
          <w:p>
            <w:pPr>
              <w:rPr>
                <w:color w:val="auto"/>
                <w:u w:val="single"/>
              </w:rPr>
            </w:pPr>
            <w:r>
              <w:rPr>
                <w:rFonts w:hint="eastAsia"/>
                <w:color w:val="auto"/>
              </w:rPr>
              <w:t>抽取作业环境（人员、空气、工器具、接触面等）检验相关记录名称：</w:t>
            </w:r>
            <w:r>
              <w:rPr>
                <w:rFonts w:hint="eastAsia"/>
                <w:color w:val="auto"/>
                <w:u w:val="single"/>
              </w:rPr>
              <w:t>《</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auto"/>
                <w:u w:val="single"/>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pPr>
                    <w:rPr>
                      <w:rFonts w:hint="default" w:eastAsia="宋体"/>
                      <w:color w:val="FF0000"/>
                      <w:lang w:val="en-US" w:eastAsia="zh-CN"/>
                    </w:rPr>
                  </w:pPr>
                </w:p>
              </w:tc>
              <w:tc>
                <w:tcPr>
                  <w:tcW w:w="1364" w:type="dxa"/>
                </w:tcPr>
                <w:p>
                  <w:pPr>
                    <w:rPr>
                      <w:rFonts w:hint="default" w:eastAsia="宋体"/>
                      <w:color w:val="FF0000"/>
                      <w:lang w:val="en-US" w:eastAsia="zh-CN"/>
                    </w:rPr>
                  </w:p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pPr>
                    <w:rPr>
                      <w:rFonts w:hint="eastAsia" w:eastAsia="宋体"/>
                      <w:color w:val="FF0000"/>
                      <w:lang w:val="en-US" w:eastAsia="zh-CN"/>
                    </w:rPr>
                  </w:pPr>
                </w:p>
              </w:tc>
              <w:tc>
                <w:tcPr>
                  <w:tcW w:w="1364" w:type="dxa"/>
                </w:tcPr>
                <w:p>
                  <w:pPr>
                    <w:rPr>
                      <w:color w:val="FF0000"/>
                    </w:rPr>
                  </w:pPr>
                </w:p>
              </w:tc>
              <w:tc>
                <w:tcPr>
                  <w:tcW w:w="1680" w:type="dxa"/>
                </w:tcPr>
                <w:p/>
              </w:tc>
              <w:tc>
                <w:tcPr>
                  <w:tcW w:w="1566" w:type="dxa"/>
                </w:tcPr>
                <w:p/>
              </w:tc>
              <w:tc>
                <w:tcPr>
                  <w:tcW w:w="2046" w:type="dxa"/>
                </w:tcPr>
                <w:p/>
              </w:tc>
            </w:tr>
          </w:tbl>
          <w:p>
            <w:pPr>
              <w:pStyle w:val="3"/>
              <w:ind w:left="0" w:leftChars="0" w:firstLine="0" w:firstLineChars="0"/>
              <w:rPr>
                <w:rFonts w:hint="eastAsia"/>
                <w:color w:val="auto"/>
                <w:lang w:val="en-US" w:eastAsia="zh-CN"/>
              </w:rPr>
            </w:pPr>
            <w:r>
              <w:rPr>
                <w:rFonts w:hint="eastAsia"/>
                <w:color w:val="auto"/>
                <w:lang w:val="en-US" w:eastAsia="zh-CN"/>
              </w:rPr>
              <w:t>粉条、水晶粉丝加工过程的作业环境主要以清洁为主。</w:t>
            </w:r>
          </w:p>
          <w:p>
            <w:pPr>
              <w:pStyle w:val="3"/>
              <w:ind w:left="0" w:leftChars="0" w:firstLine="0" w:firstLineChars="0"/>
              <w:rPr>
                <w:rFonts w:hint="default"/>
                <w:color w:val="auto"/>
                <w:lang w:val="en-US" w:eastAsia="zh-CN"/>
              </w:rPr>
            </w:pPr>
          </w:p>
          <w:p>
            <w:pPr>
              <w:rPr>
                <w:color w:val="auto"/>
                <w:u w:val="single"/>
              </w:rPr>
            </w:pPr>
            <w:r>
              <w:rPr>
                <w:rFonts w:hint="eastAsia"/>
                <w:color w:val="auto"/>
              </w:rPr>
              <w:t>抽取生产用水、蒸汽、冰</w:t>
            </w:r>
            <w:r>
              <w:rPr>
                <w:rFonts w:hint="eastAsia"/>
                <w:b/>
                <w:bCs/>
                <w:color w:val="auto"/>
              </w:rPr>
              <w:t>检验</w:t>
            </w:r>
            <w:r>
              <w:rPr>
                <w:rFonts w:hint="eastAsia"/>
                <w:color w:val="auto"/>
              </w:rPr>
              <w:t>相关记录名称：</w:t>
            </w:r>
            <w:r>
              <w:rPr>
                <w:rFonts w:hint="eastAsia"/>
                <w:color w:val="auto"/>
                <w:u w:val="single"/>
              </w:rPr>
              <w:t xml:space="preserve">《    </w:t>
            </w:r>
            <w:r>
              <w:rPr>
                <w:rFonts w:hint="eastAsia"/>
                <w:color w:val="auto"/>
                <w:u w:val="single"/>
                <w:lang w:eastAsia="zh-CN"/>
              </w:rPr>
              <w:t>——</w:t>
            </w:r>
            <w:r>
              <w:rPr>
                <w:rFonts w:hint="eastAsia"/>
                <w:color w:val="auto"/>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color w:val="auto"/>
                      <w:sz w:val="18"/>
                      <w:szCs w:val="18"/>
                    </w:rPr>
                  </w:pPr>
                  <w:r>
                    <w:rPr>
                      <w:rFonts w:hint="eastAsia"/>
                      <w:color w:val="auto"/>
                      <w:sz w:val="18"/>
                      <w:szCs w:val="18"/>
                    </w:rPr>
                    <w:t>日期</w:t>
                  </w:r>
                </w:p>
              </w:tc>
              <w:tc>
                <w:tcPr>
                  <w:tcW w:w="1714" w:type="dxa"/>
                </w:tcPr>
                <w:p>
                  <w:pPr>
                    <w:rPr>
                      <w:color w:val="auto"/>
                      <w:sz w:val="18"/>
                      <w:szCs w:val="18"/>
                    </w:rPr>
                  </w:pPr>
                  <w:r>
                    <w:rPr>
                      <w:rFonts w:hint="eastAsia"/>
                      <w:color w:val="auto"/>
                      <w:sz w:val="18"/>
                      <w:szCs w:val="18"/>
                    </w:rPr>
                    <w:t>成品名称/批次</w:t>
                  </w:r>
                </w:p>
              </w:tc>
              <w:tc>
                <w:tcPr>
                  <w:tcW w:w="1202" w:type="dxa"/>
                </w:tcPr>
                <w:p>
                  <w:pPr>
                    <w:rPr>
                      <w:color w:val="auto"/>
                      <w:sz w:val="18"/>
                      <w:szCs w:val="18"/>
                    </w:rPr>
                  </w:pPr>
                  <w:r>
                    <w:rPr>
                      <w:rFonts w:hint="eastAsia"/>
                      <w:color w:val="auto"/>
                      <w:sz w:val="18"/>
                      <w:szCs w:val="18"/>
                    </w:rPr>
                    <w:t>抽样比例</w:t>
                  </w:r>
                </w:p>
              </w:tc>
              <w:tc>
                <w:tcPr>
                  <w:tcW w:w="1952" w:type="dxa"/>
                </w:tcPr>
                <w:p>
                  <w:pPr>
                    <w:rPr>
                      <w:color w:val="auto"/>
                      <w:sz w:val="18"/>
                      <w:szCs w:val="18"/>
                    </w:rPr>
                  </w:pPr>
                  <w:r>
                    <w:rPr>
                      <w:rFonts w:hint="eastAsia"/>
                      <w:b/>
                      <w:bCs/>
                      <w:color w:val="auto"/>
                      <w:sz w:val="18"/>
                      <w:szCs w:val="18"/>
                    </w:rPr>
                    <w:t>关键特性</w:t>
                  </w:r>
                  <w:r>
                    <w:rPr>
                      <w:rFonts w:hint="eastAsia"/>
                      <w:color w:val="auto"/>
                      <w:sz w:val="18"/>
                      <w:szCs w:val="18"/>
                    </w:rPr>
                    <w:t>要求</w:t>
                  </w:r>
                </w:p>
              </w:tc>
              <w:tc>
                <w:tcPr>
                  <w:tcW w:w="2138" w:type="dxa"/>
                </w:tcPr>
                <w:p>
                  <w:pPr>
                    <w:rPr>
                      <w:color w:val="auto"/>
                      <w:sz w:val="18"/>
                      <w:szCs w:val="18"/>
                    </w:rPr>
                  </w:pPr>
                  <w:r>
                    <w:rPr>
                      <w:rFonts w:hint="eastAsia"/>
                      <w:color w:val="auto"/>
                      <w:sz w:val="18"/>
                      <w:szCs w:val="18"/>
                    </w:rPr>
                    <w:t>实测结果</w:t>
                  </w:r>
                </w:p>
              </w:tc>
              <w:tc>
                <w:tcPr>
                  <w:tcW w:w="961" w:type="dxa"/>
                </w:tcPr>
                <w:p>
                  <w:pPr>
                    <w:rPr>
                      <w:color w:val="auto"/>
                      <w:sz w:val="18"/>
                      <w:szCs w:val="18"/>
                    </w:rPr>
                  </w:pPr>
                  <w:r>
                    <w:rPr>
                      <w:rFonts w:hint="eastAsia"/>
                      <w:color w:val="auto"/>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rFonts w:hint="eastAsia" w:eastAsia="宋体"/>
                      <w:color w:val="auto"/>
                      <w:sz w:val="18"/>
                      <w:szCs w:val="18"/>
                      <w:highlight w:val="none"/>
                      <w:lang w:eastAsia="zh-CN"/>
                    </w:rPr>
                  </w:pPr>
                  <w:r>
                    <w:rPr>
                      <w:rFonts w:hint="eastAsia"/>
                      <w:color w:val="auto"/>
                      <w:sz w:val="18"/>
                      <w:szCs w:val="18"/>
                      <w:highlight w:val="none"/>
                      <w:lang w:eastAsia="zh-CN"/>
                    </w:rPr>
                    <w:t>——</w:t>
                  </w:r>
                </w:p>
              </w:tc>
              <w:tc>
                <w:tcPr>
                  <w:tcW w:w="1714" w:type="dxa"/>
                </w:tcPr>
                <w:p>
                  <w:pPr>
                    <w:rPr>
                      <w:rFonts w:hint="default" w:eastAsia="宋体"/>
                      <w:color w:val="auto"/>
                      <w:sz w:val="18"/>
                      <w:szCs w:val="18"/>
                      <w:highlight w:val="none"/>
                      <w:lang w:val="en-US" w:eastAsia="zh-CN"/>
                    </w:rPr>
                  </w:pPr>
                </w:p>
              </w:tc>
              <w:tc>
                <w:tcPr>
                  <w:tcW w:w="1202" w:type="dxa"/>
                </w:tcPr>
                <w:p>
                  <w:pPr>
                    <w:rPr>
                      <w:color w:val="auto"/>
                      <w:sz w:val="18"/>
                      <w:szCs w:val="18"/>
                      <w:highlight w:val="none"/>
                    </w:rPr>
                  </w:pPr>
                </w:p>
              </w:tc>
              <w:tc>
                <w:tcPr>
                  <w:tcW w:w="1952" w:type="dxa"/>
                </w:tcPr>
                <w:p>
                  <w:pPr>
                    <w:rPr>
                      <w:rFonts w:hint="default" w:eastAsia="宋体"/>
                      <w:color w:val="auto"/>
                      <w:sz w:val="18"/>
                      <w:szCs w:val="18"/>
                      <w:highlight w:val="none"/>
                      <w:lang w:val="en-US" w:eastAsia="zh-CN"/>
                    </w:rPr>
                  </w:pPr>
                </w:p>
              </w:tc>
              <w:tc>
                <w:tcPr>
                  <w:tcW w:w="2138" w:type="dxa"/>
                </w:tcPr>
                <w:p>
                  <w:pPr>
                    <w:rPr>
                      <w:color w:val="auto"/>
                      <w:sz w:val="18"/>
                      <w:szCs w:val="18"/>
                      <w:highlight w:val="none"/>
                    </w:rPr>
                  </w:pPr>
                </w:p>
              </w:tc>
              <w:tc>
                <w:tcPr>
                  <w:tcW w:w="961" w:type="dxa"/>
                </w:tcPr>
                <w:p>
                  <w:pPr>
                    <w:rPr>
                      <w:color w:val="auto"/>
                      <w:sz w:val="18"/>
                      <w:szCs w:val="18"/>
                      <w:highlight w:val="none"/>
                    </w:rPr>
                  </w:pPr>
                  <w:r>
                    <w:rPr>
                      <w:rFonts w:hint="eastAsia"/>
                      <w:color w:val="auto"/>
                      <w:highlight w:val="none"/>
                    </w:rPr>
                    <w:sym w:font="Wingdings" w:char="00A8"/>
                  </w:r>
                  <w:r>
                    <w:rPr>
                      <w:rFonts w:hint="eastAsia"/>
                      <w:color w:val="auto"/>
                      <w:sz w:val="18"/>
                      <w:szCs w:val="18"/>
                      <w:highlight w:val="none"/>
                    </w:rPr>
                    <w:t xml:space="preserve">合格 </w:t>
                  </w:r>
                </w:p>
                <w:p>
                  <w:pPr>
                    <w:rPr>
                      <w:color w:val="auto"/>
                      <w:sz w:val="18"/>
                      <w:szCs w:val="18"/>
                      <w:highlight w:val="none"/>
                    </w:rPr>
                  </w:pPr>
                  <w:r>
                    <w:rPr>
                      <w:rFonts w:hint="eastAsia"/>
                      <w:color w:val="auto"/>
                      <w:sz w:val="18"/>
                      <w:szCs w:val="18"/>
                      <w:highlight w:val="none"/>
                    </w:rPr>
                    <w:t>□不合格</w:t>
                  </w:r>
                </w:p>
              </w:tc>
            </w:tr>
          </w:tbl>
          <w:p>
            <w:pPr>
              <w:rPr>
                <w:rFonts w:hint="eastAsia"/>
                <w:color w:val="auto"/>
                <w:lang w:val="en-US" w:eastAsia="zh-CN"/>
              </w:rPr>
            </w:pPr>
            <w:r>
              <w:rPr>
                <w:rFonts w:hint="eastAsia"/>
                <w:color w:val="auto"/>
                <w:lang w:val="en-US" w:eastAsia="zh-CN"/>
              </w:rPr>
              <w:t>生产用水为地下水，日常管理情况见生产部、质量管理部审核记录；</w:t>
            </w:r>
          </w:p>
          <w:p>
            <w:pPr>
              <w:rPr>
                <w:rFonts w:hint="default"/>
                <w:color w:val="auto"/>
                <w:u w:val="single"/>
                <w:lang w:val="en-US" w:eastAsia="zh-CN"/>
              </w:rPr>
            </w:pPr>
            <w:r>
              <w:rPr>
                <w:rFonts w:hint="eastAsia"/>
                <w:color w:val="auto"/>
                <w:lang w:val="en-US" w:eastAsia="zh-CN"/>
              </w:rPr>
              <w:t>提供有生产用水水质检测报告，报告编号：NO: CJSP202112029，检测单位：</w:t>
            </w:r>
            <w:r>
              <w:rPr>
                <w:rFonts w:hint="eastAsia"/>
                <w:color w:val="auto"/>
                <w:u w:val="single"/>
                <w:lang w:val="en-US" w:eastAsia="zh-CN"/>
              </w:rPr>
              <w:t>河南省诚建检验检测技术股份有限公司；报告日期：2021 年 11 月 25 日；报告结论：经检测，所检项目符合 GB 5749-2006 要求；</w:t>
            </w:r>
          </w:p>
          <w:p>
            <w:pPr>
              <w:rPr>
                <w:rFonts w:hint="default"/>
                <w:u w:val="single"/>
                <w:lang w:val="en-US" w:eastAsia="zh-CN"/>
              </w:rPr>
            </w:pPr>
          </w:p>
          <w:p/>
          <w:p>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6" w:hRule="atLeast"/>
        </w:trPr>
        <w:tc>
          <w:tcPr>
            <w:tcW w:w="2128" w:type="dxa"/>
            <w:gridSpan w:val="2"/>
            <w:vMerge w:val="restart"/>
            <w:shd w:val="clear" w:color="auto" w:fill="auto"/>
          </w:tcPr>
          <w:p>
            <w:r>
              <w:rPr>
                <w:rFonts w:hint="eastAsia"/>
              </w:rPr>
              <w:t>验证活动结果的分析</w:t>
            </w:r>
          </w:p>
        </w:tc>
        <w:tc>
          <w:tcPr>
            <w:tcW w:w="994" w:type="dxa"/>
            <w:vMerge w:val="restart"/>
            <w:shd w:val="clear" w:color="auto" w:fill="auto"/>
          </w:tcPr>
          <w:p>
            <w:r>
              <w:rPr>
                <w:rFonts w:hint="eastAsia"/>
              </w:rPr>
              <w:t>F8.8.2</w:t>
            </w:r>
          </w:p>
          <w:p/>
        </w:tc>
        <w:tc>
          <w:tcPr>
            <w:tcW w:w="745" w:type="dxa"/>
            <w:gridSpan w:val="2"/>
            <w:shd w:val="clear" w:color="auto" w:fill="auto"/>
          </w:tcPr>
          <w:p>
            <w:r>
              <w:rPr>
                <w:rFonts w:hint="eastAsia"/>
              </w:rPr>
              <w:t>文件名称</w:t>
            </w:r>
          </w:p>
        </w:tc>
        <w:tc>
          <w:tcPr>
            <w:tcW w:w="9277" w:type="dxa"/>
            <w:gridSpan w:val="2"/>
            <w:shd w:val="clear" w:color="auto" w:fill="auto"/>
          </w:tcPr>
          <w:p>
            <w:r>
              <w:rPr>
                <w:rFonts w:hint="eastAsia"/>
              </w:rPr>
              <w:t>如：</w:t>
            </w:r>
            <w:r>
              <w:rPr/>
              <w:sym w:font="Wingdings" w:char="00FE"/>
            </w:r>
            <w:r>
              <w:rPr>
                <w:rFonts w:hint="eastAsia"/>
              </w:rPr>
              <w:t>《确认验证控制程序》</w:t>
            </w:r>
          </w:p>
        </w:tc>
        <w:tc>
          <w:tcPr>
            <w:tcW w:w="15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77"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w:t>
            </w:r>
            <w:r>
              <w:rPr>
                <w:rFonts w:hint="eastAsia" w:ascii="宋体" w:hAnsi="宋体"/>
                <w:b/>
                <w:bCs/>
                <w:szCs w:val="21"/>
                <w:u w:val="single"/>
                <w:lang w:val="en-US" w:eastAsia="zh-CN"/>
              </w:rPr>
              <w:t>2-01-20</w:t>
            </w:r>
            <w:r>
              <w:rPr>
                <w:rFonts w:hint="eastAsia" w:ascii="宋体" w:hAnsi="宋体"/>
                <w:b/>
                <w:bCs/>
                <w:szCs w:val="21"/>
                <w:u w:val="single"/>
              </w:rPr>
              <w:t>，结论：控制有效</w:t>
            </w:r>
          </w:p>
          <w:p>
            <w:pPr>
              <w:adjustRightInd w:val="0"/>
              <w:snapToGrid w:val="0"/>
              <w:spacing w:line="240" w:lineRule="atLeast"/>
              <w:ind w:firstLine="241" w:firstLineChars="100"/>
              <w:rPr>
                <w:rFonts w:hint="default" w:ascii="宋体" w:hAnsi="宋体" w:eastAsia="宋体"/>
                <w:b/>
                <w:bCs/>
                <w:sz w:val="24"/>
                <w:szCs w:val="24"/>
                <w:highlight w:val="none"/>
                <w:u w:val="single"/>
                <w:lang w:val="en-US" w:eastAsia="zh-CN"/>
              </w:rPr>
            </w:pPr>
            <w:r>
              <w:rPr>
                <w:rFonts w:hint="eastAsia" w:ascii="宋体" w:hAnsi="宋体"/>
                <w:b/>
                <w:bCs/>
                <w:sz w:val="24"/>
                <w:szCs w:val="24"/>
                <w:highlight w:val="none"/>
                <w:u w:val="single"/>
              </w:rPr>
              <w:t>《OPRP验证记录表》，</w:t>
            </w:r>
            <w:r>
              <w:rPr>
                <w:rFonts w:hint="eastAsia" w:ascii="宋体" w:hAnsi="宋体"/>
                <w:b/>
                <w:bCs/>
                <w:szCs w:val="21"/>
                <w:u w:val="single"/>
              </w:rPr>
              <w:t>202</w:t>
            </w:r>
            <w:r>
              <w:rPr>
                <w:rFonts w:hint="eastAsia" w:ascii="宋体" w:hAnsi="宋体"/>
                <w:b/>
                <w:bCs/>
                <w:szCs w:val="21"/>
                <w:u w:val="single"/>
                <w:lang w:val="en-US" w:eastAsia="zh-CN"/>
              </w:rPr>
              <w:t>2-01-20</w:t>
            </w:r>
            <w:r>
              <w:rPr>
                <w:rFonts w:hint="eastAsia" w:ascii="宋体" w:hAnsi="宋体"/>
                <w:b/>
                <w:bCs/>
                <w:sz w:val="24"/>
                <w:szCs w:val="24"/>
                <w:highlight w:val="none"/>
                <w:u w:val="single"/>
              </w:rPr>
              <w:t>，结论：控制有效</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lang w:val="en-US" w:eastAsia="zh-CN"/>
              </w:rPr>
              <w:t>验证内容不充分，已现场沟通</w:t>
            </w:r>
          </w:p>
          <w:p>
            <w:pPr>
              <w:adjustRightInd w:val="0"/>
              <w:snapToGrid w:val="0"/>
              <w:spacing w:line="240" w:lineRule="atLeast"/>
              <w:ind w:firstLine="241" w:firstLineChars="100"/>
              <w:rPr>
                <w:rFonts w:ascii="宋体" w:hAnsi="宋体"/>
                <w:b/>
                <w:bCs/>
                <w:sz w:val="24"/>
                <w:szCs w:val="24"/>
                <w:highlight w:val="none"/>
                <w:u w:val="single"/>
              </w:rPr>
            </w:pPr>
            <w:r>
              <w:rPr>
                <w:rFonts w:hint="eastAsia" w:ascii="宋体" w:hAnsi="宋体"/>
                <w:b/>
                <w:bCs/>
                <w:sz w:val="24"/>
                <w:szCs w:val="24"/>
                <w:highlight w:val="none"/>
                <w:u w:val="single"/>
              </w:rPr>
              <w:t>《</w:t>
            </w:r>
            <w:r>
              <w:rPr>
                <w:rFonts w:ascii="宋体" w:hAnsi="宋体"/>
                <w:b/>
                <w:bCs/>
                <w:sz w:val="24"/>
                <w:szCs w:val="24"/>
                <w:highlight w:val="none"/>
                <w:u w:val="single"/>
              </w:rPr>
              <w:t>HACCP</w:t>
            </w:r>
            <w:r>
              <w:rPr>
                <w:rFonts w:hint="eastAsia" w:ascii="宋体" w:hAnsi="宋体"/>
                <w:b/>
                <w:bCs/>
                <w:sz w:val="24"/>
                <w:szCs w:val="24"/>
                <w:highlight w:val="none"/>
                <w:u w:val="single"/>
              </w:rPr>
              <w:t>计划验证记录表》，202</w:t>
            </w:r>
            <w:r>
              <w:rPr>
                <w:rFonts w:hint="eastAsia" w:ascii="宋体" w:hAnsi="宋体"/>
                <w:b/>
                <w:bCs/>
                <w:sz w:val="24"/>
                <w:szCs w:val="24"/>
                <w:highlight w:val="none"/>
                <w:u w:val="single"/>
                <w:lang w:val="en-US" w:eastAsia="zh-CN"/>
              </w:rPr>
              <w:t>2-01-20</w:t>
            </w:r>
            <w:r>
              <w:rPr>
                <w:rFonts w:hint="eastAsia" w:ascii="宋体" w:hAnsi="宋体"/>
                <w:b/>
                <w:bCs/>
                <w:sz w:val="24"/>
                <w:szCs w:val="24"/>
                <w:highlight w:val="none"/>
                <w:u w:val="single"/>
              </w:rPr>
              <w:t>，结论：控制有效</w:t>
            </w:r>
          </w:p>
          <w:p>
            <w:pPr>
              <w:adjustRightInd w:val="0"/>
              <w:snapToGrid w:val="0"/>
              <w:spacing w:line="240" w:lineRule="atLeast"/>
              <w:ind w:firstLine="211" w:firstLineChars="100"/>
              <w:rPr>
                <w:rFonts w:hint="default" w:ascii="宋体" w:hAnsi="宋体" w:eastAsia="宋体"/>
                <w:b/>
                <w:bCs/>
                <w:szCs w:val="21"/>
                <w:u w:val="single"/>
                <w:lang w:val="en-US" w:eastAsia="zh-CN"/>
              </w:rPr>
            </w:pPr>
            <w:r>
              <w:rPr>
                <w:rFonts w:hint="eastAsia" w:ascii="宋体" w:hAnsi="宋体"/>
                <w:b/>
                <w:bCs/>
                <w:szCs w:val="21"/>
                <w:u w:val="single"/>
              </w:rPr>
              <w:t>《验证结果分析报告》，</w:t>
            </w:r>
            <w:r>
              <w:rPr>
                <w:rFonts w:hint="eastAsia" w:ascii="宋体" w:hAnsi="宋体"/>
                <w:b/>
                <w:bCs/>
                <w:sz w:val="24"/>
                <w:szCs w:val="24"/>
                <w:highlight w:val="none"/>
                <w:u w:val="single"/>
              </w:rPr>
              <w:t>202</w:t>
            </w:r>
            <w:r>
              <w:rPr>
                <w:rFonts w:hint="eastAsia" w:ascii="宋体" w:hAnsi="宋体"/>
                <w:b/>
                <w:bCs/>
                <w:sz w:val="24"/>
                <w:szCs w:val="24"/>
                <w:highlight w:val="none"/>
                <w:u w:val="single"/>
                <w:lang w:val="en-US" w:eastAsia="zh-CN"/>
              </w:rPr>
              <w:t>2-01-20</w:t>
            </w:r>
            <w:r>
              <w:rPr>
                <w:rFonts w:hint="eastAsia" w:ascii="宋体" w:hAnsi="宋体"/>
                <w:b/>
                <w:bCs/>
                <w:sz w:val="24"/>
                <w:szCs w:val="24"/>
                <w:highlight w:val="none"/>
                <w:u w:val="single"/>
              </w:rPr>
              <w:t>，结论：控制有效</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lang w:val="en-US" w:eastAsia="zh-CN"/>
              </w:rPr>
              <w:t>策划时间不够合理，已现场沟通</w:t>
            </w:r>
          </w:p>
          <w:p/>
        </w:tc>
        <w:tc>
          <w:tcPr>
            <w:tcW w:w="15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28" w:type="dxa"/>
            <w:gridSpan w:val="2"/>
            <w:vMerge w:val="restart"/>
          </w:tcPr>
          <w:p>
            <w:r>
              <w:rPr>
                <w:rFonts w:hint="eastAsia"/>
              </w:rPr>
              <w:t>食品安全管理体系的更新</w:t>
            </w:r>
          </w:p>
          <w:p/>
        </w:tc>
        <w:tc>
          <w:tcPr>
            <w:tcW w:w="996" w:type="dxa"/>
            <w:gridSpan w:val="2"/>
            <w:vMerge w:val="restart"/>
          </w:tcPr>
          <w:p>
            <w:r>
              <w:rPr>
                <w:rFonts w:hint="eastAsia"/>
              </w:rPr>
              <w:t>F10.3</w:t>
            </w:r>
          </w:p>
        </w:tc>
        <w:tc>
          <w:tcPr>
            <w:tcW w:w="745" w:type="dxa"/>
            <w:gridSpan w:val="2"/>
          </w:tcPr>
          <w:p>
            <w:r>
              <w:rPr>
                <w:rFonts w:hint="eastAsia"/>
              </w:rPr>
              <w:t>文件名称</w:t>
            </w:r>
          </w:p>
        </w:tc>
        <w:tc>
          <w:tcPr>
            <w:tcW w:w="9275" w:type="dxa"/>
          </w:tcPr>
          <w:p>
            <w:r>
              <w:rPr>
                <w:rFonts w:hint="eastAsia"/>
              </w:rPr>
              <w:t>如：</w:t>
            </w:r>
            <w:r>
              <w:rPr>
                <w:rFonts w:hint="eastAsia"/>
              </w:rPr>
              <w:sym w:font="Wingdings" w:char="00FE"/>
            </w:r>
            <w:r>
              <w:rPr>
                <w:rFonts w:hint="eastAsia"/>
                <w:lang w:eastAsia="zh-CN"/>
              </w:rPr>
              <w:t>《</w:t>
            </w:r>
            <w:r>
              <w:rPr>
                <w:rFonts w:hint="eastAsia"/>
                <w:lang w:val="en-US" w:eastAsia="zh-CN"/>
              </w:rPr>
              <w:t>质量和食品安全</w:t>
            </w:r>
            <w:r>
              <w:rPr>
                <w:rFonts w:hint="eastAsia"/>
              </w:rPr>
              <w:t>管理手册</w:t>
            </w:r>
            <w:r>
              <w:rPr>
                <w:rFonts w:hint="eastAsia"/>
                <w:lang w:eastAsia="zh-CN"/>
              </w:rPr>
              <w:t>》</w:t>
            </w:r>
            <w:r>
              <w:rPr>
                <w:rFonts w:hint="eastAsia"/>
              </w:rPr>
              <w:t>10.</w:t>
            </w:r>
            <w:r>
              <w:rPr>
                <w:rFonts w:hint="eastAsia"/>
                <w:lang w:val="en-US" w:eastAsia="zh-CN"/>
              </w:rPr>
              <w:t>4</w:t>
            </w:r>
            <w:r>
              <w:rPr>
                <w:rFonts w:hint="eastAsia"/>
              </w:rPr>
              <w:t>条款</w:t>
            </w:r>
          </w:p>
        </w:tc>
        <w:tc>
          <w:tcPr>
            <w:tcW w:w="1570"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128" w:type="dxa"/>
            <w:gridSpan w:val="2"/>
            <w:vMerge w:val="continue"/>
          </w:tcPr>
          <w:p>
            <w:pPr>
              <w:spacing w:line="360" w:lineRule="exact"/>
              <w:rPr>
                <w:szCs w:val="21"/>
              </w:rPr>
            </w:pPr>
          </w:p>
        </w:tc>
        <w:tc>
          <w:tcPr>
            <w:tcW w:w="996" w:type="dxa"/>
            <w:gridSpan w:val="2"/>
            <w:vMerge w:val="continue"/>
          </w:tcPr>
          <w:p>
            <w:pPr>
              <w:spacing w:line="360" w:lineRule="exact"/>
              <w:rPr>
                <w:szCs w:val="21"/>
              </w:rPr>
            </w:pPr>
          </w:p>
        </w:tc>
        <w:tc>
          <w:tcPr>
            <w:tcW w:w="745" w:type="dxa"/>
            <w:gridSpan w:val="2"/>
          </w:tcPr>
          <w:p>
            <w:r>
              <w:rPr>
                <w:rFonts w:hint="eastAsia"/>
              </w:rPr>
              <w:t>运行证据</w:t>
            </w:r>
          </w:p>
        </w:tc>
        <w:tc>
          <w:tcPr>
            <w:tcW w:w="9275"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审核周期内未发生变更</w:t>
            </w:r>
            <w:r>
              <w:rPr>
                <w:rFonts w:hint="eastAsia"/>
                <w:u w:val="single"/>
              </w:rPr>
              <w:t xml:space="preserve">  </w:t>
            </w:r>
            <w:r>
              <w:rPr>
                <w:rFonts w:hint="eastAsia"/>
              </w:rPr>
              <w:t xml:space="preserve"> </w:t>
            </w:r>
            <w:r>
              <w:t>，作为输入报告给管理评审。</w:t>
            </w:r>
          </w:p>
          <w:p/>
        </w:tc>
        <w:tc>
          <w:tcPr>
            <w:tcW w:w="1570" w:type="dxa"/>
            <w:gridSpan w:val="2"/>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9525</wp:posOffset>
          </wp:positionH>
          <wp:positionV relativeFrom="paragraph">
            <wp:posOffset>4445</wp:posOffset>
          </wp:positionV>
          <wp:extent cx="382270" cy="384810"/>
          <wp:effectExtent l="0" t="0" r="11430" b="889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382270" cy="384810"/>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F3A55BCD"/>
    <w:multiLevelType w:val="singleLevel"/>
    <w:tmpl w:val="F3A55BCD"/>
    <w:lvl w:ilvl="0" w:tentative="0">
      <w:start w:val="1"/>
      <w:numFmt w:val="lowerLetter"/>
      <w:lvlText w:val="%1)"/>
      <w:lvlJc w:val="left"/>
      <w:pPr>
        <w:tabs>
          <w:tab w:val="left" w:pos="312"/>
        </w:tabs>
      </w:pPr>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A4194"/>
    <w:rsid w:val="000B11D3"/>
    <w:rsid w:val="000D09A6"/>
    <w:rsid w:val="000D14C3"/>
    <w:rsid w:val="000D28BC"/>
    <w:rsid w:val="000D3451"/>
    <w:rsid w:val="000E6B21"/>
    <w:rsid w:val="000E757E"/>
    <w:rsid w:val="001126B5"/>
    <w:rsid w:val="001607F2"/>
    <w:rsid w:val="00170956"/>
    <w:rsid w:val="001A2D7F"/>
    <w:rsid w:val="001C4036"/>
    <w:rsid w:val="001C7883"/>
    <w:rsid w:val="001D22CF"/>
    <w:rsid w:val="0021056A"/>
    <w:rsid w:val="00215F05"/>
    <w:rsid w:val="0022272E"/>
    <w:rsid w:val="00224211"/>
    <w:rsid w:val="002250A0"/>
    <w:rsid w:val="00254E48"/>
    <w:rsid w:val="00255D00"/>
    <w:rsid w:val="00257FEC"/>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36930"/>
    <w:rsid w:val="00553344"/>
    <w:rsid w:val="00553CEA"/>
    <w:rsid w:val="0055669E"/>
    <w:rsid w:val="00564E53"/>
    <w:rsid w:val="00580AD2"/>
    <w:rsid w:val="00583555"/>
    <w:rsid w:val="005841E5"/>
    <w:rsid w:val="005A00DD"/>
    <w:rsid w:val="005A70B0"/>
    <w:rsid w:val="005B4EFC"/>
    <w:rsid w:val="005D3198"/>
    <w:rsid w:val="005D5659"/>
    <w:rsid w:val="005E3DEA"/>
    <w:rsid w:val="00600C20"/>
    <w:rsid w:val="00602F72"/>
    <w:rsid w:val="00644FE2"/>
    <w:rsid w:val="00647559"/>
    <w:rsid w:val="00673103"/>
    <w:rsid w:val="0067640C"/>
    <w:rsid w:val="006A7B14"/>
    <w:rsid w:val="006E678B"/>
    <w:rsid w:val="006E7B1D"/>
    <w:rsid w:val="006F66B9"/>
    <w:rsid w:val="00721965"/>
    <w:rsid w:val="00755853"/>
    <w:rsid w:val="007757F3"/>
    <w:rsid w:val="00785CEE"/>
    <w:rsid w:val="007B0B22"/>
    <w:rsid w:val="007C1B48"/>
    <w:rsid w:val="007E3B15"/>
    <w:rsid w:val="007E6AEB"/>
    <w:rsid w:val="007F429A"/>
    <w:rsid w:val="007F628B"/>
    <w:rsid w:val="00810C39"/>
    <w:rsid w:val="00821DDE"/>
    <w:rsid w:val="00821F87"/>
    <w:rsid w:val="00822941"/>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71600"/>
    <w:rsid w:val="009973B4"/>
    <w:rsid w:val="009C09D3"/>
    <w:rsid w:val="009C28C1"/>
    <w:rsid w:val="009F2810"/>
    <w:rsid w:val="009F7EED"/>
    <w:rsid w:val="00A03AB0"/>
    <w:rsid w:val="00A324D5"/>
    <w:rsid w:val="00A4056D"/>
    <w:rsid w:val="00A521F0"/>
    <w:rsid w:val="00A80636"/>
    <w:rsid w:val="00A87338"/>
    <w:rsid w:val="00A92316"/>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2092E"/>
    <w:rsid w:val="00C26678"/>
    <w:rsid w:val="00C315A5"/>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3F21283"/>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541DA"/>
    <w:rsid w:val="0B8E28C6"/>
    <w:rsid w:val="0BCE544E"/>
    <w:rsid w:val="0BE64DFF"/>
    <w:rsid w:val="0C04221A"/>
    <w:rsid w:val="0C466D6D"/>
    <w:rsid w:val="0C5423F7"/>
    <w:rsid w:val="0C6B0B18"/>
    <w:rsid w:val="0C8009B8"/>
    <w:rsid w:val="0C842FD4"/>
    <w:rsid w:val="0CA27A29"/>
    <w:rsid w:val="0CAD3315"/>
    <w:rsid w:val="0CC102DA"/>
    <w:rsid w:val="0CC85F41"/>
    <w:rsid w:val="0CC87248"/>
    <w:rsid w:val="0CD5463E"/>
    <w:rsid w:val="0CD75063"/>
    <w:rsid w:val="0CE57F67"/>
    <w:rsid w:val="0CEB516B"/>
    <w:rsid w:val="0D0D1D0A"/>
    <w:rsid w:val="0D181113"/>
    <w:rsid w:val="0D1E4D9B"/>
    <w:rsid w:val="0D3924AF"/>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914056"/>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961DD5"/>
    <w:rsid w:val="1DAE3E96"/>
    <w:rsid w:val="1DC4038A"/>
    <w:rsid w:val="1DE72E6D"/>
    <w:rsid w:val="1DF36090"/>
    <w:rsid w:val="1DFE25B1"/>
    <w:rsid w:val="1E1A7AD5"/>
    <w:rsid w:val="1E1B241E"/>
    <w:rsid w:val="1E34711A"/>
    <w:rsid w:val="1E3915D9"/>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650218"/>
    <w:rsid w:val="23713529"/>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5319F"/>
    <w:rsid w:val="261B55F8"/>
    <w:rsid w:val="261C0F72"/>
    <w:rsid w:val="261D5675"/>
    <w:rsid w:val="26325483"/>
    <w:rsid w:val="26410887"/>
    <w:rsid w:val="269C7CAD"/>
    <w:rsid w:val="27117E93"/>
    <w:rsid w:val="27130F81"/>
    <w:rsid w:val="271B4DE1"/>
    <w:rsid w:val="271C0290"/>
    <w:rsid w:val="272228DE"/>
    <w:rsid w:val="27443F4D"/>
    <w:rsid w:val="27444D9C"/>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7C13AB"/>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F6860"/>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25A9"/>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BB4EAC"/>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63EB4"/>
    <w:rsid w:val="39286E54"/>
    <w:rsid w:val="394A5FEF"/>
    <w:rsid w:val="395956D6"/>
    <w:rsid w:val="398946BB"/>
    <w:rsid w:val="399117DD"/>
    <w:rsid w:val="39972637"/>
    <w:rsid w:val="399B386E"/>
    <w:rsid w:val="39C51C57"/>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DE40D6"/>
    <w:rsid w:val="3CED4B6C"/>
    <w:rsid w:val="3D073283"/>
    <w:rsid w:val="3DAB460B"/>
    <w:rsid w:val="3DC9553D"/>
    <w:rsid w:val="3DD43625"/>
    <w:rsid w:val="3DDA7DB2"/>
    <w:rsid w:val="3DE86112"/>
    <w:rsid w:val="3E342793"/>
    <w:rsid w:val="3E3C5235"/>
    <w:rsid w:val="3EA34B57"/>
    <w:rsid w:val="3EEE6C70"/>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18792C"/>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7391B"/>
    <w:rsid w:val="541C4B67"/>
    <w:rsid w:val="5424325D"/>
    <w:rsid w:val="550429BE"/>
    <w:rsid w:val="550D26A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65D84"/>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125E91"/>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43AE3"/>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2E6E85"/>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5E5E41"/>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B90F38"/>
    <w:rsid w:val="70FF4497"/>
    <w:rsid w:val="7222701C"/>
    <w:rsid w:val="724D262A"/>
    <w:rsid w:val="72702455"/>
    <w:rsid w:val="728F2E47"/>
    <w:rsid w:val="72973011"/>
    <w:rsid w:val="729D686C"/>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CF77C2"/>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22D8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2A377A"/>
    <w:rsid w:val="7C42064D"/>
    <w:rsid w:val="7C4B372D"/>
    <w:rsid w:val="7C6A6CA8"/>
    <w:rsid w:val="7CB31FBB"/>
    <w:rsid w:val="7CD653DA"/>
    <w:rsid w:val="7CEC5EE7"/>
    <w:rsid w:val="7CF04E00"/>
    <w:rsid w:val="7D41026F"/>
    <w:rsid w:val="7D59343F"/>
    <w:rsid w:val="7D67119E"/>
    <w:rsid w:val="7D6C098F"/>
    <w:rsid w:val="7DA65D72"/>
    <w:rsid w:val="7DE208A3"/>
    <w:rsid w:val="7DFE7906"/>
    <w:rsid w:val="7E0A78B3"/>
    <w:rsid w:val="7E2912F3"/>
    <w:rsid w:val="7E3A5F03"/>
    <w:rsid w:val="7E4E5DBD"/>
    <w:rsid w:val="7E6305EF"/>
    <w:rsid w:val="7E8D50F9"/>
    <w:rsid w:val="7EBA6AA6"/>
    <w:rsid w:val="7ED713AA"/>
    <w:rsid w:val="7EDA5201"/>
    <w:rsid w:val="7EEE63E6"/>
    <w:rsid w:val="7EFC77C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3"/>
    <w:semiHidden/>
    <w:unhideWhenUsed/>
    <w:qFormat/>
    <w:uiPriority w:val="99"/>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2"/>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18</Pages>
  <Words>1718</Words>
  <Characters>9796</Characters>
  <Lines>81</Lines>
  <Paragraphs>22</Paragraphs>
  <TotalTime>26</TotalTime>
  <ScaleCrop>false</ScaleCrop>
  <LinksUpToDate>false</LinksUpToDate>
  <CharactersWithSpaces>11492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2022-05-03T03:53:16Z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A6038BF7D27B4DFEB7F93FB5F54D2F15</vt:lpwstr>
  </property>
</Properties>
</file>