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0241-2022-QF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河南新天豫食品有限公司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2022年04月23日 上午</w:t>
            </w:r>
            <w:r>
              <w:rPr>
                <w:rFonts w:hint="eastAsia" w:ascii="宋体"/>
                <w:b/>
                <w:color w:val="000000"/>
                <w:szCs w:val="21"/>
                <w:lang w:val="en-US" w:eastAsia="zh-CN"/>
              </w:rPr>
              <w:t>8:30</w:t>
            </w:r>
            <w:r>
              <w:rPr>
                <w:rFonts w:hint="eastAsia" w:ascii="宋体"/>
                <w:b/>
                <w:color w:val="000000"/>
                <w:szCs w:val="21"/>
              </w:rPr>
              <w:t>至2022年04月23日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5"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sz w:val="21"/>
                <w:szCs w:val="21"/>
              </w:rPr>
              <w:t>河南省周口市郸城县汲冢镇周口国家农业科技园区001号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Q:03.06.02</w:t>
            </w:r>
          </w:p>
          <w:p>
            <w:pPr>
              <w:spacing w:line="240" w:lineRule="exact"/>
              <w:jc w:val="center"/>
              <w:rPr>
                <w:b/>
                <w:color w:val="000000"/>
                <w:szCs w:val="21"/>
              </w:rPr>
            </w:pPr>
            <w:r>
              <w:rPr>
                <w:b/>
                <w:color w:val="000000"/>
                <w:szCs w:val="21"/>
              </w:rPr>
              <w:t>F:CIV-1</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河南新天豫食品有限公司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河南省周口市郸城县汲冢镇周口国家农业科技园区001号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477150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河南省周口市郸城县汲冢镇周口国家农业科技园区001号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477150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谢迪</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0394-3668887/15936922600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孙博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谢迪</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21"/>
                <w:szCs w:val="21"/>
              </w:rPr>
              <w:t>hnxty2021@163.com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b/>
                <w:szCs w:val="21"/>
                <w:highlight w:val="none"/>
              </w:rPr>
              <w:t>淀粉制品（粉条、水晶粉丝）的生产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b/>
                <w:szCs w:val="21"/>
                <w:highlight w:val="none"/>
              </w:rPr>
              <w:t>淀粉制品（粉条、水晶粉丝）的生产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pStyle w:val="2"/>
              <w:rPr>
                <w:rFonts w:hint="eastAsia"/>
                <w:lang w:val="en-US" w:eastAsia="zh-CN"/>
              </w:rPr>
            </w:pPr>
            <w:bookmarkStart w:id="37" w:name="_GoBack"/>
            <w:bookmarkEnd w:id="37"/>
            <w:r>
              <w:rPr>
                <w:rFonts w:hint="eastAsia"/>
                <w:lang w:val="en-US" w:eastAsia="zh-CN"/>
              </w:rPr>
              <w:t>水晶粉丝（危害控制计划中描述为红薯粉丝，不够准备，已现场沟通，）生产工艺流程图：</w:t>
            </w:r>
          </w:p>
          <w:p>
            <w:pPr>
              <w:pStyle w:val="2"/>
              <w:rPr>
                <w:rFonts w:hint="eastAsia"/>
                <w:lang w:val="en-US" w:eastAsia="zh-CN"/>
              </w:rPr>
            </w:pPr>
            <w:r>
              <w:rPr>
                <w:rFonts w:hint="eastAsia"/>
                <w:lang w:val="en-US" w:eastAsia="zh-CN"/>
              </w:rPr>
              <w:t>淀粉验收→兑料打糊→成型→冷却分离→老化→竖切丝→烘干→定长横切→收条装框→选检包装→金属探测→装箱入库</w:t>
            </w:r>
          </w:p>
          <w:p>
            <w:pPr>
              <w:pStyle w:val="2"/>
              <w:rPr>
                <w:rFonts w:hint="default"/>
                <w:lang w:val="en-US" w:eastAsia="zh-CN"/>
              </w:rPr>
            </w:pPr>
          </w:p>
          <w:p>
            <w:pPr>
              <w:pStyle w:val="2"/>
              <w:rPr>
                <w:rFonts w:hint="eastAsia"/>
                <w:lang w:val="en-US" w:eastAsia="zh-CN"/>
              </w:rPr>
            </w:pPr>
            <w:r>
              <w:rPr>
                <w:rFonts w:hint="eastAsia"/>
                <w:lang w:val="en-US" w:eastAsia="zh-CN"/>
              </w:rPr>
              <w:t>红薯粉条/粉饼生产工艺流程图：</w:t>
            </w:r>
          </w:p>
          <w:p>
            <w:pPr>
              <w:pStyle w:val="2"/>
              <w:rPr>
                <w:rFonts w:hint="default"/>
                <w:lang w:val="en-US" w:eastAsia="zh-CN"/>
              </w:rPr>
            </w:pPr>
            <w:r>
              <w:rPr>
                <w:rFonts w:hint="eastAsia"/>
                <w:lang w:val="en-US" w:eastAsia="zh-CN"/>
              </w:rPr>
              <w:t>淀粉验收→兑料→芡糊→和面→抽真空→漏粉→蒸煮→冷却→切断挂杆→入库冷却→出库解冰→</w:t>
            </w:r>
            <w:r>
              <w:rPr>
                <w:rFonts w:hint="eastAsia"/>
                <w:b/>
                <w:bCs w:val="0"/>
                <w:highlight w:val="yellow"/>
                <w:lang w:val="en-US" w:eastAsia="zh-CN"/>
              </w:rPr>
              <w:t>粉饼【</w:t>
            </w:r>
            <w:r>
              <w:rPr>
                <w:rFonts w:hint="eastAsia"/>
                <w:b/>
                <w:bCs w:val="0"/>
                <w:color w:val="0000FF"/>
                <w:highlight w:val="yellow"/>
                <w:lang w:val="en-US" w:eastAsia="zh-CN"/>
              </w:rPr>
              <w:t>称量成型→烘干（粉饼）</w:t>
            </w:r>
            <w:r>
              <w:rPr>
                <w:rFonts w:hint="eastAsia"/>
                <w:b/>
                <w:bCs w:val="0"/>
                <w:highlight w:val="yellow"/>
                <w:lang w:val="en-US" w:eastAsia="zh-CN"/>
              </w:rPr>
              <w:t>】</w:t>
            </w:r>
            <w:r>
              <w:rPr>
                <w:rFonts w:hint="eastAsia"/>
                <w:lang w:val="en-US" w:eastAsia="zh-CN"/>
              </w:rPr>
              <w:t>/</w:t>
            </w:r>
            <w:r>
              <w:rPr>
                <w:rFonts w:hint="eastAsia"/>
                <w:highlight w:val="cyan"/>
                <w:lang w:val="en-US" w:eastAsia="zh-CN"/>
              </w:rPr>
              <w:t>粉条【</w:t>
            </w:r>
            <w:r>
              <w:rPr>
                <w:rFonts w:hint="eastAsia"/>
                <w:color w:val="0000FF"/>
                <w:highlight w:val="cyan"/>
                <w:lang w:val="en-US" w:eastAsia="zh-CN"/>
              </w:rPr>
              <w:t>烘干（粉条）</w:t>
            </w:r>
            <w:r>
              <w:rPr>
                <w:rFonts w:hint="eastAsia"/>
                <w:highlight w:val="cyan"/>
                <w:lang w:val="en-US" w:eastAsia="zh-CN"/>
              </w:rPr>
              <w:t>→半成品暂存】</w:t>
            </w:r>
            <w:r>
              <w:rPr>
                <w:rFonts w:hint="eastAsia"/>
                <w:lang w:val="en-US" w:eastAsia="zh-CN"/>
              </w:rPr>
              <w:t>→选检包装→金属探测→装箱入库</w:t>
            </w:r>
          </w:p>
          <w:p>
            <w:pPr>
              <w:pStyle w:val="6"/>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rFonts w:hint="eastAsia"/>
                <w:b/>
                <w:szCs w:val="21"/>
                <w:highlight w:val="none"/>
              </w:rPr>
              <w:t>淀粉制品（粉条、水晶粉丝）的生产</w:t>
            </w:r>
          </w:p>
        </w:tc>
        <w:tc>
          <w:tcPr>
            <w:tcW w:w="2006" w:type="dxa"/>
            <w:gridSpan w:val="3"/>
            <w:vAlign w:val="center"/>
          </w:tcPr>
          <w:p>
            <w:pPr>
              <w:spacing w:line="400" w:lineRule="exact"/>
              <w:rPr>
                <w:rFonts w:ascii="宋体" w:hAnsi="宋体"/>
                <w:b/>
                <w:color w:val="000000"/>
                <w:szCs w:val="21"/>
              </w:rPr>
            </w:pPr>
            <w:r>
              <w:t>03.06.02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b/>
                <w:szCs w:val="21"/>
                <w:highlight w:val="none"/>
              </w:rPr>
              <w:t>位于河南省周口市郸城县汲冢镇周口国家农业科技园区001号河南新天豫食品有限公司生产车间的淀粉制品（粉条、水晶粉丝）的生产</w:t>
            </w:r>
          </w:p>
        </w:tc>
        <w:tc>
          <w:tcPr>
            <w:tcW w:w="2006" w:type="dxa"/>
            <w:gridSpan w:val="3"/>
            <w:vAlign w:val="center"/>
          </w:tcPr>
          <w:p>
            <w:pPr>
              <w:spacing w:line="400" w:lineRule="exact"/>
              <w:rPr>
                <w:rFonts w:ascii="宋体" w:hAnsi="宋体"/>
                <w:b/>
                <w:color w:val="000000"/>
                <w:szCs w:val="21"/>
              </w:rPr>
            </w:pPr>
            <w:r>
              <w:t>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strike/>
                <w:dstrike w:val="0"/>
                <w:color w:val="000000"/>
                <w:spacing w:val="-10"/>
                <w:szCs w:val="21"/>
              </w:rPr>
            </w:pPr>
            <w:r>
              <w:rPr>
                <w:rFonts w:hint="eastAsia" w:ascii="宋体" w:hAnsi="宋体"/>
                <w:strike/>
                <w:dstrike w:val="0"/>
                <w:color w:val="000000"/>
                <w:szCs w:val="21"/>
              </w:rPr>
              <w:t>现场服务与申请范围是否一致：</w:t>
            </w:r>
          </w:p>
        </w:tc>
        <w:tc>
          <w:tcPr>
            <w:tcW w:w="988" w:type="dxa"/>
            <w:gridSpan w:val="2"/>
          </w:tcPr>
          <w:p>
            <w:pPr>
              <w:rPr>
                <w:rFonts w:ascii="宋体"/>
                <w:strike/>
                <w:dstrike w:val="0"/>
                <w:color w:val="000000"/>
                <w:spacing w:val="-10"/>
                <w:szCs w:val="21"/>
              </w:rPr>
            </w:pPr>
            <w:r>
              <w:rPr>
                <w:rFonts w:hint="eastAsia" w:ascii="宋体" w:hAnsi="宋体"/>
                <w:strike/>
                <w:dstrike w:val="0"/>
                <w:color w:val="000000"/>
                <w:spacing w:val="-10"/>
                <w:szCs w:val="21"/>
              </w:rPr>
              <w:sym w:font="Wingdings 2" w:char="00A3"/>
            </w:r>
            <w:r>
              <w:rPr>
                <w:rFonts w:hint="eastAsia" w:ascii="宋体" w:hAnsi="宋体"/>
                <w:strike/>
                <w:dstrike w:val="0"/>
                <w:color w:val="000000"/>
                <w:szCs w:val="21"/>
              </w:rPr>
              <w:t>是</w:t>
            </w:r>
          </w:p>
        </w:tc>
        <w:tc>
          <w:tcPr>
            <w:tcW w:w="1018" w:type="dxa"/>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河南新天豫食品有限公司</w:t>
            </w:r>
          </w:p>
          <w:p>
            <w:pPr>
              <w:spacing w:before="40" w:after="40"/>
              <w:rPr>
                <w:sz w:val="21"/>
                <w:szCs w:val="21"/>
                <w:lang w:val="de-DE" w:eastAsia="ja-JP"/>
              </w:rPr>
            </w:pPr>
            <w:r>
              <w:rPr>
                <w:sz w:val="21"/>
                <w:szCs w:val="21"/>
              </w:rPr>
              <w:t>河南省周口市郸城县汲冢镇周口国家农业科技园区001号</w:t>
            </w:r>
          </w:p>
        </w:tc>
        <w:tc>
          <w:tcPr>
            <w:tcW w:w="2267" w:type="dxa"/>
          </w:tcPr>
          <w:p>
            <w:pPr>
              <w:spacing w:before="40" w:after="40"/>
              <w:rPr>
                <w:rFonts w:eastAsia="黑体"/>
                <w:szCs w:val="21"/>
                <w:lang w:val="de-DE" w:eastAsia="ja-JP"/>
              </w:rPr>
            </w:pPr>
            <w:r>
              <w:rPr>
                <w:sz w:val="21"/>
                <w:szCs w:val="21"/>
              </w:rPr>
              <w:t>河南省周口市郸城县汲冢镇周口国家农业科技园区001号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90</w:t>
            </w:r>
          </w:p>
        </w:tc>
        <w:tc>
          <w:tcPr>
            <w:tcW w:w="2803" w:type="dxa"/>
            <w:vAlign w:val="center"/>
          </w:tcPr>
          <w:p>
            <w:pPr>
              <w:rPr>
                <w:rFonts w:hint="eastAsia"/>
                <w:b/>
                <w:szCs w:val="21"/>
                <w:highlight w:val="none"/>
              </w:rPr>
            </w:pPr>
            <w:r>
              <w:rPr>
                <w:rFonts w:hint="eastAsia"/>
                <w:b/>
                <w:szCs w:val="21"/>
                <w:highlight w:val="none"/>
              </w:rPr>
              <w:t>Q：淀粉制品（粉条、水晶粉丝）的生产</w:t>
            </w:r>
          </w:p>
          <w:p>
            <w:pPr>
              <w:pStyle w:val="20"/>
              <w:rPr>
                <w:rFonts w:eastAsia="黑体" w:cs="Arial"/>
                <w:sz w:val="21"/>
                <w:szCs w:val="21"/>
                <w:lang w:val="en-US" w:eastAsia="ja-JP"/>
              </w:rPr>
            </w:pPr>
            <w:r>
              <w:rPr>
                <w:rFonts w:hint="eastAsia"/>
                <w:b/>
                <w:szCs w:val="21"/>
                <w:highlight w:val="none"/>
              </w:rPr>
              <w:t>F：位于河南省周口市郸城县汲冢镇周口国家农业科技园区001号河南新天豫食品有限公司生产车间的淀粉制品（粉条、水晶粉丝）的生产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numPr>
          <w:ilvl w:val="0"/>
          <w:numId w:val="2"/>
        </w:numPr>
        <w:spacing w:before="156" w:beforeLines="50" w:line="360" w:lineRule="exact"/>
        <w:rPr>
          <w:rFonts w:hint="eastAsia" w:ascii="宋体" w:hAnsi="宋体"/>
          <w:b/>
          <w:color w:val="000000"/>
          <w:szCs w:val="21"/>
        </w:rPr>
      </w:pPr>
      <w:r>
        <w:rPr>
          <w:rFonts w:hint="eastAsia" w:ascii="宋体" w:hAnsi="宋体"/>
          <w:b/>
          <w:color w:val="000000"/>
          <w:szCs w:val="21"/>
        </w:rPr>
        <w:t>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2021年11月10日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u w:val="single"/>
                <w:lang w:val="en-US" w:eastAsia="zh-CN"/>
              </w:rPr>
              <w:t>-23日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年2月28日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sz w:val="21"/>
                <w:szCs w:val="21"/>
                <w:lang w:val="en-US" w:eastAsia="zh-CN"/>
              </w:rPr>
            </w:pPr>
            <w:r>
              <w:rPr>
                <w:rFonts w:hint="eastAsia"/>
                <w:sz w:val="21"/>
                <w:szCs w:val="21"/>
                <w:lang w:val="en-US" w:eastAsia="zh-CN"/>
              </w:rPr>
              <w:t>粉条：原料验收、抽真空、漏粉、烘干、金探</w:t>
            </w:r>
          </w:p>
          <w:p>
            <w:pPr>
              <w:pStyle w:val="6"/>
              <w:rPr>
                <w:rFonts w:hint="default"/>
                <w:lang w:val="en-US" w:eastAsia="zh-CN"/>
              </w:rPr>
            </w:pPr>
            <w:r>
              <w:rPr>
                <w:rFonts w:hint="eastAsia"/>
                <w:color w:val="000000"/>
                <w:sz w:val="21"/>
                <w:szCs w:val="21"/>
                <w:highlight w:val="none"/>
                <w:u w:val="single"/>
                <w:lang w:val="en-US" w:eastAsia="zh-CN"/>
              </w:rPr>
              <w:t xml:space="preserve">水晶粉丝：原料验收、下料入机、成型、烘干、金探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物流运输、计量设备检定、产品第三方检验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lang w:eastAsia="zh-CN"/>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Theme="minorEastAsia" w:hAnsiTheme="minorEastAsia" w:eastAsiaTheme="minorEastAsia"/>
                <w:color w:val="000000"/>
                <w:spacing w:val="-10"/>
                <w:szCs w:val="21"/>
                <w:highlight w:val="none"/>
              </w:rPr>
            </w:pPr>
            <w:r>
              <w:rPr>
                <w:rFonts w:hint="eastAsia" w:asciiTheme="minorEastAsia" w:hAnsiTheme="minorEastAsia" w:eastAsiaTheme="minorEastAsia"/>
                <w:color w:val="000000"/>
                <w:spacing w:val="-10"/>
                <w:szCs w:val="21"/>
                <w:highlight w:val="none"/>
                <w:lang w:val="en-US" w:eastAsia="zh-CN"/>
              </w:rPr>
              <w:t>显著危害识别</w:t>
            </w:r>
          </w:p>
        </w:tc>
        <w:tc>
          <w:tcPr>
            <w:tcW w:w="4563" w:type="dxa"/>
            <w:shd w:val="clear" w:color="auto" w:fill="E6E0EC" w:themeFill="accent4" w:themeFillTint="32"/>
            <w:vAlign w:val="top"/>
          </w:tcPr>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粉条：CCP3_淀粉验收、CCP4_烘干（粉饼）、CCP5_烘干（粉条）、CCP7_金属探测</w:t>
            </w:r>
          </w:p>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粉丝：CCP3_淀粉验收、CCP6_烘干（粉丝）、CCP7_金属探测</w:t>
            </w:r>
          </w:p>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水处理：OPRP1_储水池沉淀、OPRP2_过滤</w:t>
            </w:r>
          </w:p>
        </w:tc>
        <w:tc>
          <w:tcPr>
            <w:tcW w:w="1063"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hint="eastAsia" w:asciiTheme="minorEastAsia" w:hAnsiTheme="minorEastAsia" w:eastAsiaTheme="minorEastAsia"/>
                <w:color w:val="000000"/>
                <w:spacing w:val="-10"/>
                <w:szCs w:val="21"/>
                <w:highlight w:val="yellow"/>
                <w:lang w:val="en-US" w:eastAsia="zh-CN"/>
              </w:rPr>
            </w:pPr>
            <w:r>
              <w:rPr>
                <w:rFonts w:hint="eastAsia" w:asciiTheme="minorEastAsia" w:hAnsiTheme="minorEastAsia" w:eastAsiaTheme="minorEastAsia"/>
                <w:color w:val="000000"/>
                <w:szCs w:val="21"/>
                <w:highlight w:val="none"/>
              </w:rPr>
              <w:t>关键限值（CL）</w:t>
            </w:r>
            <w:r>
              <w:rPr>
                <w:rFonts w:hint="eastAsia" w:asciiTheme="minorEastAsia" w:hAnsiTheme="minorEastAsia" w:eastAsiaTheme="minorEastAsia"/>
                <w:color w:val="000000"/>
                <w:spacing w:val="-10"/>
                <w:szCs w:val="21"/>
                <w:highlight w:val="none"/>
                <w:lang w:val="en-US" w:eastAsia="zh-CN"/>
              </w:rPr>
              <w:t>/行动准则的识别</w:t>
            </w:r>
          </w:p>
        </w:tc>
        <w:tc>
          <w:tcPr>
            <w:tcW w:w="4563" w:type="dxa"/>
            <w:shd w:val="clear" w:color="auto" w:fill="E6E0EC" w:themeFill="accent4" w:themeFillTint="32"/>
            <w:vAlign w:val="top"/>
          </w:tcPr>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粉条：</w:t>
            </w:r>
          </w:p>
          <w:p>
            <w:pPr>
              <w:pStyle w:val="6"/>
              <w:rPr>
                <w:rFonts w:hint="eastAsia" w:ascii="宋体" w:hAnsi="宋体" w:eastAsia="宋体" w:cs="宋体"/>
                <w:sz w:val="21"/>
                <w:szCs w:val="21"/>
                <w:lang w:eastAsia="zh-CN"/>
              </w:rPr>
            </w:pPr>
            <w:r>
              <w:rPr>
                <w:rFonts w:hint="eastAsia" w:cs="Times New Roman" w:asciiTheme="minorEastAsia" w:hAnsiTheme="minorEastAsia" w:eastAsiaTheme="minorEastAsia"/>
                <w:color w:val="000000"/>
                <w:spacing w:val="-10"/>
                <w:kern w:val="2"/>
                <w:sz w:val="21"/>
                <w:szCs w:val="21"/>
                <w:highlight w:val="none"/>
                <w:lang w:val="en-US" w:eastAsia="zh-CN" w:bidi="ar-SA"/>
              </w:rPr>
              <w:t>CCP3_CL:</w:t>
            </w:r>
            <w:r>
              <w:rPr>
                <w:rFonts w:ascii="宋体" w:hAnsi="宋体" w:eastAsia="宋体" w:cs="宋体"/>
                <w:sz w:val="21"/>
                <w:szCs w:val="21"/>
              </w:rPr>
              <w:t>菌落总数：n=5,c=2,m=104,M=105；大肠菌群：n=5,c=2,m=102,M=103；霉菌和酵母≤103CFU/g</w:t>
            </w:r>
            <w:r>
              <w:rPr>
                <w:rFonts w:hint="eastAsia" w:ascii="宋体" w:hAnsi="宋体" w:eastAsia="宋体" w:cs="宋体"/>
                <w:sz w:val="21"/>
                <w:szCs w:val="21"/>
                <w:lang w:eastAsia="zh-CN"/>
              </w:rPr>
              <w:t>，</w:t>
            </w:r>
            <w:r>
              <w:rPr>
                <w:rFonts w:ascii="宋体" w:hAnsi="宋体" w:eastAsia="宋体" w:cs="宋体"/>
                <w:sz w:val="21"/>
                <w:szCs w:val="21"/>
              </w:rPr>
              <w:t>a)二氧化硫残留量≤0.03g/kg；b)铅（Pb）≤0.2mg/kg；c)铝的残留量（Al）:不得使用</w:t>
            </w:r>
            <w:r>
              <w:rPr>
                <w:rFonts w:hint="eastAsia" w:cs="Times New Roman" w:asciiTheme="minorEastAsia" w:hAnsiTheme="minorEastAsia" w:eastAsiaTheme="minorEastAsia"/>
                <w:color w:val="000000"/>
                <w:spacing w:val="-10"/>
                <w:kern w:val="2"/>
                <w:sz w:val="21"/>
                <w:szCs w:val="21"/>
                <w:highlight w:val="none"/>
                <w:lang w:val="en-US" w:eastAsia="zh-CN" w:bidi="ar-SA"/>
              </w:rPr>
              <w:t>、d</w:t>
            </w:r>
            <w:r>
              <w:rPr>
                <w:rFonts w:ascii="宋体" w:hAnsi="宋体" w:eastAsia="宋体" w:cs="宋体"/>
                <w:sz w:val="21"/>
                <w:szCs w:val="21"/>
              </w:rPr>
              <w:t>)水分≤15.0%；e)灰分（干基）≤0.35%；f)蛋白质（干基）≤ 0.2%；g)斑点≤7个/cm2；h)细度，150μm（100目）筛通过率质量分数≥99.05；i)白度，457nm蓝光反射率≥78.0%；j)粘度，6%（干物质计），700cmg≥ 500BU；k)pH值：6.0-8.0</w:t>
            </w:r>
            <w:r>
              <w:rPr>
                <w:rFonts w:hint="eastAsia" w:ascii="宋体" w:hAnsi="宋体" w:eastAsia="宋体" w:cs="宋体"/>
                <w:sz w:val="21"/>
                <w:szCs w:val="21"/>
                <w:lang w:eastAsia="zh-CN"/>
              </w:rPr>
              <w:t>；</w:t>
            </w:r>
          </w:p>
          <w:p>
            <w:pPr>
              <w:pStyle w:val="6"/>
              <w:rPr>
                <w:rFonts w:hint="eastAsia" w:ascii="宋体" w:hAnsi="宋体" w:eastAsia="宋体" w:cs="宋体"/>
                <w:sz w:val="21"/>
                <w:szCs w:val="21"/>
                <w:lang w:eastAsia="zh-CN"/>
              </w:rPr>
            </w:pP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4_CL:南一室烘干温度26-40℃，湿度在45-60%,气压3-4mpa；南二室烘干温度35-46℃、湿度在40-55%，气压2-4mpa；南三室烘干温度30-40℃，湿度在20-35℃，气压2-2.5mpa。北一室烘干温度30-45℃，湿度在40-55%，气压3-4mpa；北二室烘干温度35-46℃、湿度在45-60%，气压2-4mpa；北三室烘干温度30-40℃，湿度20-38℃，气压2-2.5mpa;</w:t>
            </w:r>
          </w:p>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p>
          <w:p>
            <w:pPr>
              <w:pStyle w:val="6"/>
              <w:rPr>
                <w:rFonts w:hint="eastAsia" w:ascii="宋体" w:hAnsi="宋体" w:eastAsia="宋体" w:cs="宋体"/>
                <w:sz w:val="21"/>
                <w:szCs w:val="21"/>
                <w:lang w:val="en-US" w:eastAsia="zh-CN"/>
              </w:rPr>
            </w:pPr>
            <w:r>
              <w:rPr>
                <w:rFonts w:hint="eastAsia" w:cs="Times New Roman" w:asciiTheme="minorEastAsia" w:hAnsiTheme="minorEastAsia" w:eastAsiaTheme="minorEastAsia"/>
                <w:color w:val="000000"/>
                <w:spacing w:val="-10"/>
                <w:kern w:val="2"/>
                <w:sz w:val="21"/>
                <w:szCs w:val="21"/>
                <w:highlight w:val="none"/>
                <w:lang w:val="en-US" w:eastAsia="zh-CN" w:bidi="ar-SA"/>
              </w:rPr>
              <w:t>CCP5_CL:</w:t>
            </w:r>
            <w:r>
              <w:rPr>
                <w:rFonts w:ascii="宋体" w:hAnsi="宋体" w:eastAsia="宋体" w:cs="宋体"/>
                <w:sz w:val="21"/>
                <w:szCs w:val="21"/>
              </w:rPr>
              <w:t>1#风机37℃-55℃，2#风机37℃-55℃，3#37℃-55℃</w:t>
            </w:r>
            <w:r>
              <w:rPr>
                <w:rFonts w:hint="eastAsia" w:ascii="宋体" w:hAnsi="宋体" w:eastAsia="宋体" w:cs="宋体"/>
                <w:sz w:val="21"/>
                <w:szCs w:val="21"/>
                <w:lang w:val="en-US" w:eastAsia="zh-CN"/>
              </w:rPr>
              <w:t>,</w:t>
            </w:r>
            <w:r>
              <w:rPr>
                <w:rFonts w:ascii="宋体" w:hAnsi="宋体" w:eastAsia="宋体" w:cs="宋体"/>
                <w:sz w:val="21"/>
                <w:szCs w:val="21"/>
              </w:rPr>
              <w:t>4#38℃-55℃， 5#36℃-55℃，6#36℃-55℃，7#38℃-55℃， 8#38℃-55℃，9#38℃-55℃，</w:t>
            </w:r>
            <w:r>
              <w:rPr>
                <w:rFonts w:hint="eastAsia" w:ascii="宋体" w:hAnsi="宋体" w:eastAsia="宋体" w:cs="宋体"/>
                <w:sz w:val="21"/>
                <w:szCs w:val="21"/>
                <w:lang w:val="en-US" w:eastAsia="zh-CN"/>
              </w:rPr>
              <w:t>1</w:t>
            </w:r>
            <w:r>
              <w:rPr>
                <w:rFonts w:ascii="宋体" w:hAnsi="宋体" w:eastAsia="宋体" w:cs="宋体"/>
                <w:sz w:val="21"/>
                <w:szCs w:val="21"/>
              </w:rPr>
              <w:t>0#38℃-55℃</w:t>
            </w:r>
            <w:r>
              <w:rPr>
                <w:rFonts w:hint="eastAsia" w:ascii="宋体" w:hAnsi="宋体" w:eastAsia="宋体" w:cs="宋体"/>
                <w:sz w:val="21"/>
                <w:szCs w:val="21"/>
                <w:lang w:val="en-US" w:eastAsia="zh-CN"/>
              </w:rPr>
              <w:t>;</w:t>
            </w:r>
          </w:p>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CCP7_CL:Fe: φ1.5mm ， Sus:φ2.0mm，N-Fe:φ1.5mm 通过能检出;</w:t>
            </w:r>
          </w:p>
          <w:p>
            <w:pPr>
              <w:pStyle w:val="6"/>
              <w:rPr>
                <w:rFonts w:hint="default" w:cs="Times New Roman" w:asciiTheme="minorEastAsia" w:hAnsiTheme="minorEastAsia" w:eastAsiaTheme="minorEastAsia"/>
                <w:color w:val="000000"/>
                <w:spacing w:val="-10"/>
                <w:kern w:val="2"/>
                <w:sz w:val="21"/>
                <w:szCs w:val="21"/>
                <w:highlight w:val="none"/>
                <w:lang w:val="en-US" w:eastAsia="zh-CN" w:bidi="ar-SA"/>
              </w:rPr>
            </w:pP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粉丝：</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CCP3_CL：同上CCP3</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CCP6_CL：烘箱速度 17-18HZ；热交换器压力 0.4mpa 左右；蒸汽管道压力0.3-0.5mpa；蒸箱温度90-110℃；1-8 号风机温度 40℃-130℃；</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CCP7_CL:同上CCP7</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水处理：</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OPRP1_行动准则：水质检验，氯含量不得高于200mg/L；</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OPRP2_行动准则：使用40目不锈钢滤</w:t>
            </w:r>
          </w:p>
          <w:p>
            <w:pPr>
              <w:pStyle w:val="6"/>
              <w:rPr>
                <w:rFonts w:hint="eastAsia" w:cs="Times New Roman" w:asciiTheme="minorEastAsia" w:hAnsiTheme="minorEastAsia" w:eastAsiaTheme="minorEastAsia"/>
                <w:color w:val="000000"/>
                <w:spacing w:val="-10"/>
                <w:kern w:val="2"/>
                <w:sz w:val="21"/>
                <w:szCs w:val="21"/>
                <w:highlight w:val="none"/>
                <w:lang w:val="en-US" w:eastAsia="zh-CN" w:bidi="ar-SA"/>
              </w:rPr>
            </w:pPr>
            <w:r>
              <w:rPr>
                <w:rFonts w:hint="eastAsia" w:cs="Times New Roman" w:asciiTheme="minorEastAsia" w:hAnsiTheme="minorEastAsia" w:eastAsiaTheme="minorEastAsia"/>
                <w:color w:val="000000"/>
                <w:spacing w:val="-10"/>
                <w:kern w:val="2"/>
                <w:sz w:val="21"/>
                <w:szCs w:val="21"/>
                <w:highlight w:val="none"/>
                <w:lang w:val="en-US" w:eastAsia="zh-CN" w:bidi="ar-SA"/>
              </w:rPr>
              <w:t>网过滤，每10天清洗一次滤网，检查并更换破损滤网</w:t>
            </w:r>
          </w:p>
        </w:tc>
        <w:tc>
          <w:tcPr>
            <w:tcW w:w="1063" w:type="dxa"/>
            <w:shd w:val="clear" w:color="auto" w:fill="E6E0EC" w:themeFill="accent4" w:themeFillTint="32"/>
            <w:vAlign w:val="top"/>
          </w:tcPr>
          <w:p>
            <w:pPr>
              <w:rPr>
                <w:rFonts w:ascii="宋体" w:hAnsi="Times New Roman" w:eastAsia="宋体" w:cs="Times New Roman"/>
                <w:color w:val="000000"/>
                <w:spacing w:val="-10"/>
                <w:kern w:val="2"/>
                <w:sz w:val="21"/>
                <w:szCs w:val="21"/>
                <w:highlight w:val="none"/>
                <w:lang w:val="en-US" w:eastAsia="zh-CN" w:bidi="ar-SA"/>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vAlign w:val="top"/>
          </w:tcPr>
          <w:p>
            <w:pPr>
              <w:rPr>
                <w:rFonts w:hint="eastAsia" w:ascii="宋体" w:hAnsi="Times New Roman" w:eastAsia="宋体" w:cs="Times New Roman"/>
                <w:color w:val="000000"/>
                <w:spacing w:val="-10"/>
                <w:kern w:val="2"/>
                <w:sz w:val="21"/>
                <w:szCs w:val="21"/>
                <w:highlight w:val="none"/>
                <w:lang w:val="en-US" w:eastAsia="zh-CN" w:bidi="ar-SA"/>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563" w:type="dxa"/>
            <w:shd w:val="clear" w:color="auto" w:fill="E6E0EC" w:themeFill="accent4" w:themeFillTint="32"/>
          </w:tcPr>
          <w:p>
            <w:pPr>
              <w:rPr>
                <w:rFonts w:hint="eastAsia" w:ascii="宋体" w:eastAsia="宋体"/>
                <w:color w:val="FF0000"/>
                <w:spacing w:val="-10"/>
                <w:szCs w:val="21"/>
                <w:highlight w:val="none"/>
                <w:lang w:eastAsia="zh-CN"/>
              </w:rPr>
            </w:pPr>
            <w:r>
              <w:rPr>
                <w:rFonts w:ascii="宋体" w:hAnsi="宋体" w:eastAsia="宋体" w:cs="宋体"/>
                <w:sz w:val="24"/>
                <w:szCs w:val="24"/>
                <w:u w:val="single"/>
              </w:rPr>
              <w:t>物流运输、计量设备检定、产品第三方检验</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rPr>
              <w:t>无</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zCs w:val="21"/>
                <w:highlight w:val="none"/>
              </w:rPr>
              <w:t>基础设施管理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是否满足生产/服务的需要且完好运行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r>
              <w:rPr>
                <w:rFonts w:hint="eastAsia" w:ascii="宋体" w:hAnsi="宋体"/>
                <w:color w:val="000000"/>
                <w:szCs w:val="21"/>
                <w:highlight w:val="none"/>
              </w:rPr>
              <w:t xml:space="preserve">     </w:t>
            </w:r>
          </w:p>
        </w:tc>
        <w:tc>
          <w:tcPr>
            <w:tcW w:w="1637" w:type="dxa"/>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是否按法规要求检测和备案要且完好运行</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563" w:type="dxa"/>
            <w:shd w:val="clear" w:color="auto" w:fill="E6E0EC" w:themeFill="accent4"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E6E0EC" w:themeFill="accent4" w:themeFillTint="32"/>
            <w:vAlign w:val="top"/>
          </w:tcPr>
          <w:p>
            <w:pPr>
              <w:rPr>
                <w:rFonts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vAlign w:val="top"/>
          </w:tcPr>
          <w:p>
            <w:pP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hint="eastAsia" w:ascii="宋体" w:eastAsia="宋体"/>
                <w:color w:val="000000"/>
                <w:szCs w:val="21"/>
                <w:highlight w:val="none"/>
                <w:lang w:eastAsia="zh-CN"/>
              </w:rPr>
            </w:pPr>
            <w:r>
              <w:rPr>
                <w:rFonts w:hint="eastAsia" w:ascii="宋体" w:hAnsi="宋体"/>
                <w:color w:val="000000"/>
                <w:szCs w:val="21"/>
                <w:highlight w:val="none"/>
              </w:rPr>
              <w:t>满足</w:t>
            </w:r>
            <w:r>
              <w:rPr>
                <w:rFonts w:hint="eastAsia" w:ascii="宋体" w:hAnsi="宋体"/>
                <w:color w:val="000000"/>
                <w:spacing w:val="-10"/>
                <w:szCs w:val="21"/>
                <w:highlight w:val="none"/>
              </w:rPr>
              <w:t>生产/服务</w:t>
            </w:r>
            <w:r>
              <w:rPr>
                <w:rFonts w:hint="eastAsia" w:ascii="宋体" w:hAnsi="宋体"/>
                <w:color w:val="000000"/>
                <w:szCs w:val="21"/>
                <w:highlight w:val="none"/>
              </w:rPr>
              <w:t>所需</w:t>
            </w:r>
            <w:r>
              <w:rPr>
                <w:rFonts w:hint="eastAsia" w:ascii="宋体" w:hAnsi="宋体"/>
                <w:color w:val="000000"/>
                <w:szCs w:val="21"/>
                <w:highlight w:val="none"/>
                <w:lang w:val="en-US" w:eastAsia="zh-CN"/>
              </w:rPr>
              <w:t>条件</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 xml:space="preserve">是否满足生产/服务食品安全的需要               </w:t>
            </w:r>
          </w:p>
        </w:tc>
        <w:tc>
          <w:tcPr>
            <w:tcW w:w="1063" w:type="dxa"/>
            <w:shd w:val="clear" w:color="auto" w:fill="E6E0EC" w:themeFill="accent4" w:themeFillTint="32"/>
            <w:vAlign w:val="top"/>
          </w:tcPr>
          <w:p>
            <w:pPr>
              <w:rPr>
                <w:rFonts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sym w:font="Wingdings 2" w:char="0052"/>
            </w:r>
            <w:r>
              <w:rPr>
                <w:rFonts w:hint="eastAsia" w:ascii="宋体" w:hAnsi="宋体"/>
                <w:color w:val="000000"/>
                <w:szCs w:val="21"/>
                <w:highlight w:val="none"/>
              </w:rPr>
              <w:t>是</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见问题清单</w:t>
            </w:r>
            <w:r>
              <w:rPr>
                <w:rFonts w:hint="eastAsia" w:ascii="宋体" w:hAnsi="宋体"/>
                <w:color w:val="000000"/>
                <w:szCs w:val="21"/>
                <w:highlight w:val="none"/>
              </w:rPr>
              <w:t xml:space="preserve">     </w:t>
            </w:r>
          </w:p>
        </w:tc>
        <w:tc>
          <w:tcPr>
            <w:tcW w:w="1637" w:type="dxa"/>
            <w:shd w:val="clear" w:color="auto" w:fill="E6E0EC" w:themeFill="accent4" w:themeFillTint="32"/>
            <w:vAlign w:val="top"/>
          </w:tcPr>
          <w:p>
            <w:pPr>
              <w:rPr>
                <w:rFonts w:hint="default" w:ascii="宋体" w:hAnsi="宋体" w:eastAsia="宋体" w:cs="Times New Roman"/>
                <w:color w:val="000000"/>
                <w:kern w:val="2"/>
                <w:sz w:val="21"/>
                <w:szCs w:val="21"/>
                <w:highlight w:val="none"/>
                <w:lang w:val="en-US" w:eastAsia="zh-CN" w:bidi="ar-SA"/>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highlight w:val="none"/>
              </w:rPr>
            </w:pPr>
            <w:r>
              <w:rPr>
                <w:rFonts w:hint="eastAsia" w:ascii="宋体" w:hAnsi="宋体"/>
                <w:color w:val="000000"/>
                <w:szCs w:val="21"/>
                <w:highlight w:val="none"/>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pacing w:val="-10"/>
                <w:szCs w:val="21"/>
                <w:highlight w:val="none"/>
              </w:rPr>
              <w:t xml:space="preserve"> 产品食品安全标准                          </w:t>
            </w:r>
          </w:p>
        </w:tc>
        <w:tc>
          <w:tcPr>
            <w:tcW w:w="10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正确</w:t>
            </w:r>
          </w:p>
        </w:tc>
        <w:tc>
          <w:tcPr>
            <w:tcW w:w="1637"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 xml:space="preserve">☑ 技术要求（合同）                  </w:t>
            </w:r>
          </w:p>
        </w:tc>
        <w:tc>
          <w:tcPr>
            <w:tcW w:w="10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highlight w:val="none"/>
              </w:rPr>
            </w:pPr>
          </w:p>
        </w:tc>
        <w:tc>
          <w:tcPr>
            <w:tcW w:w="4563"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 xml:space="preserve">☑ </w:t>
            </w:r>
            <w:r>
              <w:rPr>
                <w:rFonts w:hint="eastAsia" w:ascii="宋体" w:hAnsi="宋体"/>
                <w:bCs/>
                <w:sz w:val="20"/>
                <w:highlight w:val="none"/>
                <w:lang w:val="en-GB"/>
              </w:rPr>
              <w:t>产品安全性验证证据是否齐全</w:t>
            </w:r>
            <w:r>
              <w:rPr>
                <w:rFonts w:hint="eastAsia" w:ascii="宋体"/>
                <w:color w:val="000000"/>
                <w:szCs w:val="21"/>
                <w:highlight w:val="none"/>
              </w:rPr>
              <w:t xml:space="preserve">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FF0000"/>
                <w:szCs w:val="21"/>
                <w:highlight w:val="none"/>
              </w:rPr>
              <w:sym w:font="Wingdings 2" w:char="00A3"/>
            </w:r>
            <w:r>
              <w:rPr>
                <w:rFonts w:hint="eastAsia" w:ascii="宋体" w:hAnsi="宋体"/>
                <w:color w:val="FF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市场抽查及食品安全事故</w:t>
            </w: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highlight w:val="none"/>
              </w:rPr>
            </w:pPr>
          </w:p>
        </w:tc>
        <w:tc>
          <w:tcPr>
            <w:tcW w:w="4563" w:type="dxa"/>
            <w:shd w:val="clear" w:color="auto" w:fill="E6E0EC" w:themeFill="accent4" w:themeFillTint="32"/>
          </w:tcPr>
          <w:p>
            <w:pPr>
              <w:rPr>
                <w:rFonts w:ascii="宋体"/>
                <w:color w:val="000000"/>
                <w:spacing w:val="-10"/>
                <w:szCs w:val="21"/>
                <w:highlight w:val="none"/>
              </w:rPr>
            </w:pPr>
            <w:r>
              <w:rPr>
                <w:rFonts w:hint="eastAsia" w:ascii="宋体"/>
                <w:color w:val="000000"/>
                <w:szCs w:val="21"/>
                <w:highlight w:val="none"/>
              </w:rPr>
              <w:t xml:space="preserve">是否因食品安全问题受到媒体的曝光        </w:t>
            </w:r>
          </w:p>
        </w:tc>
        <w:tc>
          <w:tcPr>
            <w:tcW w:w="1063" w:type="dxa"/>
            <w:shd w:val="clear" w:color="auto" w:fill="E6E0EC" w:themeFill="accent4"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00" w:type="dxa"/>
            <w:vMerge w:val="continue"/>
            <w:shd w:val="clear" w:color="auto" w:fill="E6E0EC" w:themeFill="accent4" w:themeFillTint="32"/>
          </w:tcPr>
          <w:p>
            <w:pPr>
              <w:rPr>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是否发生了食品安全事故/召回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highlight w:val="none"/>
              </w:rPr>
            </w:pPr>
          </w:p>
        </w:tc>
        <w:tc>
          <w:tcPr>
            <w:tcW w:w="4563" w:type="dxa"/>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E6E0EC" w:themeFill="accent4"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A3"/>
            </w:r>
            <w:r>
              <w:rPr>
                <w:rFonts w:hint="eastAsia" w:ascii="宋体" w:hAnsi="宋体"/>
                <w:b/>
                <w:color w:val="000000"/>
                <w:sz w:val="20"/>
                <w:szCs w:val="20"/>
              </w:rPr>
              <w:t>运输过程</w:t>
            </w:r>
          </w:p>
        </w:tc>
      </w:tr>
    </w:tbl>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2022-04-2</w:t>
            </w:r>
            <w:bookmarkEnd w:id="36"/>
            <w:r>
              <w:rPr>
                <w:rFonts w:hint="eastAsia" w:ascii="宋体"/>
                <w:b/>
                <w:color w:val="000000"/>
                <w:szCs w:val="21"/>
                <w:lang w:val="en-US" w:eastAsia="zh-CN"/>
              </w:rPr>
              <w:t>4下午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b/>
                <w:szCs w:val="21"/>
                <w:highlight w:val="none"/>
              </w:rPr>
              <w:t>淀粉制品（粉条、水晶粉丝）的生产</w:t>
            </w:r>
          </w:p>
        </w:tc>
        <w:tc>
          <w:tcPr>
            <w:tcW w:w="1541" w:type="dxa"/>
            <w:vAlign w:val="center"/>
          </w:tcPr>
          <w:p>
            <w:pPr>
              <w:jc w:val="center"/>
              <w:rPr>
                <w:rFonts w:ascii="宋体" w:hAnsi="宋体"/>
                <w:b/>
                <w:color w:val="000000"/>
                <w:szCs w:val="21"/>
              </w:rPr>
            </w:pPr>
            <w:r>
              <w:rPr>
                <w:sz w:val="18"/>
                <w:szCs w:val="18"/>
              </w:rPr>
              <w:t>Q:03.06.02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b/>
                <w:szCs w:val="21"/>
                <w:highlight w:val="none"/>
              </w:rPr>
              <w:t>位于河南省周口市郸城县汲冢镇周口国家农业科技园区001号河南新天豫食品有限公司生产车间的淀粉制品（粉条、水晶粉丝）的生产</w:t>
            </w:r>
          </w:p>
        </w:tc>
        <w:tc>
          <w:tcPr>
            <w:tcW w:w="1541" w:type="dxa"/>
            <w:vAlign w:val="center"/>
          </w:tcPr>
          <w:p>
            <w:pPr>
              <w:spacing w:line="400" w:lineRule="exact"/>
              <w:rPr>
                <w:rFonts w:ascii="宋体" w:hAnsi="宋体"/>
                <w:b/>
                <w:color w:val="000000"/>
                <w:szCs w:val="21"/>
              </w:rPr>
            </w:pPr>
            <w:r>
              <w:rPr>
                <w:sz w:val="18"/>
                <w:szCs w:val="18"/>
              </w:rPr>
              <w:t>F:CIV-1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1738630</wp:posOffset>
            </wp:positionH>
            <wp:positionV relativeFrom="paragraph">
              <wp:posOffset>-495300</wp:posOffset>
            </wp:positionV>
            <wp:extent cx="1195705" cy="692785"/>
            <wp:effectExtent l="0" t="0" r="10795" b="5715"/>
            <wp:wrapTight wrapText="bothSides">
              <wp:wrapPolygon>
                <wp:start x="0" y="0"/>
                <wp:lineTo x="0" y="21382"/>
                <wp:lineTo x="21336" y="21382"/>
                <wp:lineTo x="21336" y="0"/>
                <wp:lineTo x="0" y="0"/>
              </wp:wrapPolygon>
            </wp:wrapTight>
            <wp:docPr id="2" name="图片 2"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7190978092871566"/>
                    <pic:cNvPicPr>
                      <a:picLocks noChangeAspect="1"/>
                    </pic:cNvPicPr>
                  </pic:nvPicPr>
                  <pic:blipFill>
                    <a:blip r:embed="rId6"/>
                    <a:stretch>
                      <a:fillRect/>
                    </a:stretch>
                  </pic:blipFill>
                  <pic:spPr>
                    <a:xfrm>
                      <a:off x="0" y="0"/>
                      <a:ext cx="1195705" cy="69278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无</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2022-04-23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一阶段现场/远程审核问题清单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205"/>
        <w:gridCol w:w="112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99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12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pPr>
              <w:pStyle w:val="7"/>
              <w:pBdr>
                <w:bottom w:val="none" w:color="auto" w:sz="0" w:space="0"/>
              </w:pBdr>
              <w:jc w:val="both"/>
              <w:rPr>
                <w:rFonts w:ascii="宋体"/>
                <w:color w:val="000000"/>
                <w:sz w:val="21"/>
                <w:szCs w:val="21"/>
              </w:rPr>
            </w:pPr>
            <w:r>
              <w:rPr>
                <w:rFonts w:hint="eastAsia" w:ascii="宋体"/>
                <w:color w:val="000000"/>
                <w:sz w:val="21"/>
                <w:szCs w:val="21"/>
              </w:rPr>
              <w:t>1</w:t>
            </w:r>
          </w:p>
        </w:tc>
        <w:tc>
          <w:tcPr>
            <w:tcW w:w="5993"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虫鼠害防治：</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1、车间入口处使用电击式灭蝇灯；</w:t>
            </w:r>
          </w:p>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2、车间内未见防虫蝇措施；</w:t>
            </w:r>
          </w:p>
        </w:tc>
        <w:tc>
          <w:tcPr>
            <w:tcW w:w="1120" w:type="dxa"/>
            <w:vAlign w:val="center"/>
          </w:tcPr>
          <w:p>
            <w:pPr>
              <w:pStyle w:val="7"/>
              <w:pBdr>
                <w:bottom w:val="none" w:color="auto" w:sz="0" w:space="0"/>
              </w:pBdr>
              <w:jc w:val="both"/>
              <w:rPr>
                <w:color w:val="000000"/>
                <w:sz w:val="21"/>
                <w:szCs w:val="21"/>
              </w:rPr>
            </w:pPr>
            <w:r>
              <w:rPr>
                <w:rFonts w:hint="eastAsia"/>
                <w:color w:val="000000"/>
                <w:sz w:val="21"/>
                <w:szCs w:val="21"/>
              </w:rPr>
              <w:t>I</w:t>
            </w:r>
            <w:r>
              <w:rPr>
                <w:color w:val="000000"/>
                <w:sz w:val="21"/>
                <w:szCs w:val="21"/>
              </w:rPr>
              <w:t>SO22000</w:t>
            </w:r>
          </w:p>
          <w:p>
            <w:pPr>
              <w:pStyle w:val="7"/>
              <w:pBdr>
                <w:bottom w:val="none" w:color="auto" w:sz="0" w:space="0"/>
              </w:pBdr>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133" w:type="dxa"/>
            <w:vAlign w:val="center"/>
          </w:tcPr>
          <w:p>
            <w:pPr>
              <w:pStyle w:val="7"/>
              <w:pBdr>
                <w:bottom w:val="none" w:color="auto" w:sz="0" w:space="0"/>
              </w:pBdr>
              <w:jc w:val="both"/>
              <w:rPr>
                <w:color w:val="000000"/>
                <w:sz w:val="21"/>
                <w:szCs w:val="21"/>
              </w:rPr>
            </w:pPr>
            <w:r>
              <w:rPr>
                <w:rFonts w:hint="eastAsia"/>
                <w:color w:val="000000"/>
                <w:sz w:val="21"/>
                <w:szCs w:val="21"/>
              </w:rPr>
              <w:t>8</w:t>
            </w:r>
            <w:r>
              <w:rPr>
                <w:color w:val="000000"/>
                <w:sz w:val="21"/>
                <w:szCs w:val="21"/>
              </w:rPr>
              <w:t>.2.4</w:t>
            </w:r>
          </w:p>
          <w:p>
            <w:pPr>
              <w:pStyle w:val="7"/>
              <w:pBdr>
                <w:bottom w:val="none" w:color="auto" w:sz="0" w:space="0"/>
              </w:pBdr>
              <w:jc w:val="both"/>
              <w:rPr>
                <w:rFonts w:hint="default" w:eastAsia="宋体"/>
                <w:color w:val="000000"/>
                <w:sz w:val="21"/>
                <w:szCs w:val="21"/>
                <w:lang w:val="en-US" w:eastAsia="zh-CN"/>
              </w:rPr>
            </w:pPr>
            <w:r>
              <w:rPr>
                <w:rFonts w:hint="eastAsia"/>
                <w:color w:val="000000"/>
                <w:sz w:val="21"/>
                <w:szCs w:val="21"/>
                <w:lang w:val="en-US" w:eastAsia="zh-CN"/>
              </w:rPr>
              <w:t>8.5.4</w:t>
            </w:r>
          </w:p>
        </w:tc>
        <w:tc>
          <w:tcPr>
            <w:tcW w:w="934" w:type="dxa"/>
            <w:vAlign w:val="center"/>
          </w:tcPr>
          <w:p>
            <w:pPr>
              <w:pStyle w:val="7"/>
              <w:pBdr>
                <w:bottom w:val="none" w:color="auto" w:sz="0" w:space="0"/>
              </w:pBdr>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48" w:type="dxa"/>
            <w:vAlign w:val="center"/>
          </w:tcPr>
          <w:p>
            <w:pPr>
              <w:pStyle w:val="7"/>
              <w:pBdr>
                <w:bottom w:val="none" w:color="auto" w:sz="0" w:space="0"/>
              </w:pBdr>
              <w:jc w:val="both"/>
              <w:rPr>
                <w:rFonts w:ascii="宋体"/>
                <w:color w:val="000000"/>
                <w:sz w:val="21"/>
                <w:szCs w:val="21"/>
              </w:rPr>
            </w:pPr>
            <w:r>
              <w:rPr>
                <w:rFonts w:hint="eastAsia" w:ascii="宋体"/>
                <w:color w:val="000000"/>
                <w:sz w:val="21"/>
                <w:szCs w:val="21"/>
              </w:rPr>
              <w:t>2</w:t>
            </w:r>
          </w:p>
        </w:tc>
        <w:tc>
          <w:tcPr>
            <w:tcW w:w="5993"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查看现场：</w:t>
            </w:r>
          </w:p>
          <w:p>
            <w:pPr>
              <w:pStyle w:val="7"/>
              <w:pBdr>
                <w:bottom w:val="none" w:color="auto" w:sz="0" w:space="0"/>
              </w:pBdr>
              <w:tabs>
                <w:tab w:val="center" w:pos="5737"/>
                <w:tab w:val="clear" w:pos="4153"/>
              </w:tabs>
              <w:jc w:val="both"/>
              <w:rPr>
                <w:color w:val="000000"/>
                <w:sz w:val="21"/>
                <w:szCs w:val="21"/>
              </w:rPr>
            </w:pPr>
            <w:r>
              <w:rPr>
                <w:color w:val="000000"/>
                <w:sz w:val="21"/>
                <w:szCs w:val="21"/>
              </w:rPr>
              <w:t>1</w:t>
            </w:r>
            <w:r>
              <w:rPr>
                <w:rFonts w:hint="eastAsia"/>
                <w:color w:val="000000"/>
                <w:sz w:val="21"/>
                <w:szCs w:val="21"/>
              </w:rPr>
              <w:t>、烘干和包装等工序产品有带框着地放置情况；</w:t>
            </w:r>
          </w:p>
          <w:p>
            <w:pPr>
              <w:pStyle w:val="7"/>
              <w:pBdr>
                <w:bottom w:val="none" w:color="auto" w:sz="0" w:space="0"/>
              </w:pBdr>
              <w:tabs>
                <w:tab w:val="center" w:pos="5737"/>
                <w:tab w:val="clear" w:pos="4153"/>
              </w:tabs>
              <w:jc w:val="both"/>
              <w:rPr>
                <w:rFonts w:hint="eastAsia"/>
                <w:color w:val="000000"/>
                <w:sz w:val="21"/>
                <w:szCs w:val="21"/>
              </w:rPr>
            </w:pPr>
            <w:r>
              <w:rPr>
                <w:color w:val="000000"/>
                <w:sz w:val="21"/>
                <w:szCs w:val="21"/>
              </w:rPr>
              <w:t>2</w:t>
            </w:r>
            <w:r>
              <w:rPr>
                <w:rFonts w:hint="eastAsia"/>
                <w:color w:val="000000"/>
                <w:sz w:val="21"/>
                <w:szCs w:val="21"/>
              </w:rPr>
              <w:t>、客户来料（马铃薯淀粉）未见标识；</w:t>
            </w:r>
          </w:p>
        </w:tc>
        <w:tc>
          <w:tcPr>
            <w:tcW w:w="1120" w:type="dxa"/>
            <w:vAlign w:val="center"/>
          </w:tcPr>
          <w:p>
            <w:pPr>
              <w:pStyle w:val="7"/>
              <w:pBdr>
                <w:bottom w:val="none" w:color="auto" w:sz="0" w:space="0"/>
              </w:pBdr>
              <w:jc w:val="both"/>
              <w:rPr>
                <w:color w:val="000000"/>
                <w:sz w:val="21"/>
                <w:szCs w:val="21"/>
              </w:rPr>
            </w:pPr>
            <w:r>
              <w:rPr>
                <w:color w:val="000000"/>
                <w:sz w:val="21"/>
                <w:szCs w:val="21"/>
              </w:rPr>
              <w:t>ISO9001</w:t>
            </w:r>
          </w:p>
          <w:p>
            <w:pPr>
              <w:pStyle w:val="7"/>
              <w:pBdr>
                <w:bottom w:val="none" w:color="auto" w:sz="0" w:space="0"/>
              </w:pBdr>
              <w:jc w:val="both"/>
              <w:rPr>
                <w:color w:val="000000"/>
                <w:sz w:val="21"/>
                <w:szCs w:val="21"/>
              </w:rPr>
            </w:pPr>
            <w:r>
              <w:rPr>
                <w:color w:val="000000"/>
                <w:sz w:val="21"/>
                <w:szCs w:val="21"/>
              </w:rPr>
              <w:t>ISO22000</w:t>
            </w:r>
          </w:p>
        </w:tc>
        <w:tc>
          <w:tcPr>
            <w:tcW w:w="1133" w:type="dxa"/>
            <w:vAlign w:val="center"/>
          </w:tcPr>
          <w:p>
            <w:pPr>
              <w:pStyle w:val="7"/>
              <w:pBdr>
                <w:bottom w:val="none" w:color="auto" w:sz="0" w:space="0"/>
              </w:pBdr>
              <w:jc w:val="both"/>
              <w:rPr>
                <w:color w:val="000000"/>
                <w:sz w:val="21"/>
                <w:szCs w:val="21"/>
              </w:rPr>
            </w:pPr>
            <w:r>
              <w:rPr>
                <w:color w:val="000000"/>
                <w:sz w:val="21"/>
                <w:szCs w:val="21"/>
              </w:rPr>
              <w:t>8.5</w:t>
            </w:r>
          </w:p>
          <w:p>
            <w:pPr>
              <w:pStyle w:val="7"/>
              <w:pBdr>
                <w:bottom w:val="none" w:color="auto" w:sz="0" w:space="0"/>
              </w:pBdr>
              <w:jc w:val="both"/>
              <w:rPr>
                <w:color w:val="000000"/>
                <w:sz w:val="21"/>
                <w:szCs w:val="21"/>
              </w:rPr>
            </w:pPr>
            <w:r>
              <w:rPr>
                <w:color w:val="000000"/>
                <w:sz w:val="21"/>
                <w:szCs w:val="21"/>
              </w:rPr>
              <w:t>8.2.4</w:t>
            </w:r>
          </w:p>
        </w:tc>
        <w:tc>
          <w:tcPr>
            <w:tcW w:w="934" w:type="dxa"/>
            <w:vAlign w:val="center"/>
          </w:tcPr>
          <w:p>
            <w:pPr>
              <w:pStyle w:val="7"/>
              <w:pBdr>
                <w:bottom w:val="none" w:color="auto" w:sz="0" w:space="0"/>
              </w:pBdr>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48" w:type="dxa"/>
            <w:vAlign w:val="center"/>
          </w:tcPr>
          <w:p>
            <w:pPr>
              <w:pStyle w:val="7"/>
              <w:pBdr>
                <w:bottom w:val="none" w:color="auto" w:sz="0" w:space="0"/>
              </w:pBdr>
              <w:jc w:val="both"/>
              <w:rPr>
                <w:rFonts w:ascii="宋体"/>
                <w:color w:val="000000"/>
                <w:sz w:val="21"/>
                <w:szCs w:val="21"/>
              </w:rPr>
            </w:pPr>
            <w:r>
              <w:rPr>
                <w:rFonts w:hint="eastAsia" w:ascii="宋体"/>
                <w:color w:val="000000"/>
                <w:sz w:val="21"/>
                <w:szCs w:val="21"/>
              </w:rPr>
              <w:t>3</w:t>
            </w:r>
          </w:p>
        </w:tc>
        <w:tc>
          <w:tcPr>
            <w:tcW w:w="5993"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rPr>
              <w:t>现场金探仪所使用测试片为铁φ1</w:t>
            </w:r>
            <w:r>
              <w:rPr>
                <w:color w:val="000000"/>
                <w:sz w:val="21"/>
                <w:szCs w:val="21"/>
              </w:rPr>
              <w:t>.5</w:t>
            </w:r>
            <w:r>
              <w:rPr>
                <w:rFonts w:hint="eastAsia"/>
                <w:color w:val="000000"/>
                <w:sz w:val="21"/>
                <w:szCs w:val="21"/>
              </w:rPr>
              <w:t>、不锈钢φ</w:t>
            </w:r>
            <w:r>
              <w:rPr>
                <w:color w:val="000000"/>
                <w:sz w:val="21"/>
                <w:szCs w:val="21"/>
              </w:rPr>
              <w:t>2.0</w:t>
            </w:r>
            <w:r>
              <w:rPr>
                <w:rFonts w:hint="eastAsia"/>
                <w:color w:val="000000"/>
                <w:sz w:val="21"/>
                <w:szCs w:val="21"/>
              </w:rPr>
              <w:t>、非铁φ2</w:t>
            </w:r>
            <w:r>
              <w:rPr>
                <w:color w:val="000000"/>
                <w:sz w:val="21"/>
                <w:szCs w:val="21"/>
              </w:rPr>
              <w:t>.0</w:t>
            </w:r>
            <w:r>
              <w:rPr>
                <w:rFonts w:hint="eastAsia"/>
                <w:color w:val="000000"/>
                <w:sz w:val="21"/>
                <w:szCs w:val="21"/>
              </w:rPr>
              <w:t>，与H</w:t>
            </w:r>
            <w:r>
              <w:rPr>
                <w:color w:val="000000"/>
                <w:sz w:val="21"/>
                <w:szCs w:val="21"/>
              </w:rPr>
              <w:t>ACCP</w:t>
            </w:r>
            <w:r>
              <w:rPr>
                <w:rFonts w:hint="eastAsia"/>
                <w:color w:val="000000"/>
                <w:sz w:val="21"/>
                <w:szCs w:val="21"/>
              </w:rPr>
              <w:t>计划中不一致。</w:t>
            </w:r>
          </w:p>
        </w:tc>
        <w:tc>
          <w:tcPr>
            <w:tcW w:w="1120" w:type="dxa"/>
            <w:vAlign w:val="center"/>
          </w:tcPr>
          <w:p>
            <w:pPr>
              <w:pStyle w:val="7"/>
              <w:pBdr>
                <w:bottom w:val="none" w:color="auto" w:sz="0" w:space="0"/>
              </w:pBdr>
              <w:jc w:val="both"/>
              <w:rPr>
                <w:color w:val="000000"/>
                <w:sz w:val="21"/>
                <w:szCs w:val="21"/>
              </w:rPr>
            </w:pPr>
            <w:r>
              <w:rPr>
                <w:color w:val="000000"/>
                <w:sz w:val="21"/>
                <w:szCs w:val="21"/>
              </w:rPr>
              <w:t>ISO9001</w:t>
            </w:r>
          </w:p>
          <w:p>
            <w:pPr>
              <w:pStyle w:val="7"/>
              <w:pBdr>
                <w:bottom w:val="none" w:color="auto" w:sz="0" w:space="0"/>
              </w:pBdr>
              <w:jc w:val="both"/>
              <w:rPr>
                <w:color w:val="000000"/>
                <w:sz w:val="21"/>
                <w:szCs w:val="21"/>
              </w:rPr>
            </w:pPr>
            <w:r>
              <w:rPr>
                <w:color w:val="000000"/>
                <w:sz w:val="21"/>
                <w:szCs w:val="21"/>
              </w:rPr>
              <w:t>ISO22000</w:t>
            </w:r>
          </w:p>
        </w:tc>
        <w:tc>
          <w:tcPr>
            <w:tcW w:w="1133" w:type="dxa"/>
            <w:vAlign w:val="center"/>
          </w:tcPr>
          <w:p>
            <w:pPr>
              <w:pStyle w:val="7"/>
              <w:pBdr>
                <w:bottom w:val="none" w:color="auto" w:sz="0" w:space="0"/>
              </w:pBdr>
              <w:jc w:val="both"/>
              <w:rPr>
                <w:color w:val="000000"/>
                <w:sz w:val="21"/>
                <w:szCs w:val="21"/>
              </w:rPr>
            </w:pPr>
            <w:r>
              <w:rPr>
                <w:color w:val="000000"/>
                <w:sz w:val="21"/>
                <w:szCs w:val="21"/>
              </w:rPr>
              <w:t>8.5</w:t>
            </w:r>
          </w:p>
          <w:p>
            <w:pPr>
              <w:pStyle w:val="7"/>
              <w:pBdr>
                <w:bottom w:val="none" w:color="auto" w:sz="0" w:space="0"/>
              </w:pBdr>
              <w:jc w:val="both"/>
              <w:rPr>
                <w:color w:val="000000"/>
                <w:sz w:val="21"/>
                <w:szCs w:val="21"/>
              </w:rPr>
            </w:pPr>
            <w:r>
              <w:rPr>
                <w:color w:val="000000"/>
                <w:sz w:val="21"/>
                <w:szCs w:val="21"/>
              </w:rPr>
              <w:t>8.5.4</w:t>
            </w:r>
          </w:p>
        </w:tc>
        <w:tc>
          <w:tcPr>
            <w:tcW w:w="934" w:type="dxa"/>
            <w:vAlign w:val="center"/>
          </w:tcPr>
          <w:p>
            <w:pPr>
              <w:pStyle w:val="7"/>
              <w:pBdr>
                <w:bottom w:val="none" w:color="auto" w:sz="0" w:space="0"/>
              </w:pBdr>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8" w:type="dxa"/>
            <w:vAlign w:val="center"/>
          </w:tcPr>
          <w:p>
            <w:pPr>
              <w:pStyle w:val="7"/>
              <w:pBdr>
                <w:bottom w:val="none" w:color="auto" w:sz="0" w:space="0"/>
              </w:pBdr>
              <w:jc w:val="both"/>
              <w:rPr>
                <w:rFonts w:ascii="宋体"/>
                <w:color w:val="000000"/>
                <w:sz w:val="21"/>
                <w:szCs w:val="21"/>
              </w:rPr>
            </w:pPr>
            <w:r>
              <w:rPr>
                <w:rFonts w:hint="eastAsia" w:ascii="宋体"/>
                <w:color w:val="000000"/>
                <w:sz w:val="21"/>
                <w:szCs w:val="21"/>
              </w:rPr>
              <w:t>4</w:t>
            </w:r>
          </w:p>
        </w:tc>
        <w:tc>
          <w:tcPr>
            <w:tcW w:w="5993"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val="en-US" w:eastAsia="zh-CN"/>
              </w:rPr>
              <w:t>危害控制</w:t>
            </w:r>
            <w:r>
              <w:rPr>
                <w:rFonts w:hint="eastAsia"/>
                <w:color w:val="000000"/>
                <w:sz w:val="21"/>
                <w:szCs w:val="21"/>
              </w:rPr>
              <w:t>计划中未体现制水过程</w:t>
            </w:r>
            <w:r>
              <w:rPr>
                <w:rFonts w:hint="eastAsia"/>
                <w:color w:val="000000"/>
                <w:sz w:val="21"/>
                <w:szCs w:val="21"/>
                <w:lang w:eastAsia="zh-CN"/>
              </w:rPr>
              <w:t>。</w:t>
            </w:r>
          </w:p>
        </w:tc>
        <w:tc>
          <w:tcPr>
            <w:tcW w:w="1120" w:type="dxa"/>
            <w:vAlign w:val="center"/>
          </w:tcPr>
          <w:p>
            <w:pPr>
              <w:pStyle w:val="7"/>
              <w:pBdr>
                <w:bottom w:val="none" w:color="auto" w:sz="0" w:space="0"/>
              </w:pBdr>
              <w:jc w:val="both"/>
              <w:rPr>
                <w:color w:val="000000"/>
                <w:sz w:val="21"/>
                <w:szCs w:val="21"/>
              </w:rPr>
            </w:pPr>
            <w:r>
              <w:rPr>
                <w:rFonts w:hint="eastAsia"/>
                <w:color w:val="000000"/>
                <w:sz w:val="21"/>
                <w:szCs w:val="21"/>
              </w:rPr>
              <w:t>I</w:t>
            </w:r>
            <w:r>
              <w:rPr>
                <w:color w:val="000000"/>
                <w:sz w:val="21"/>
                <w:szCs w:val="21"/>
              </w:rPr>
              <w:t>SO22000</w:t>
            </w:r>
          </w:p>
        </w:tc>
        <w:tc>
          <w:tcPr>
            <w:tcW w:w="1133" w:type="dxa"/>
            <w:vAlign w:val="center"/>
          </w:tcPr>
          <w:p>
            <w:pPr>
              <w:pStyle w:val="7"/>
              <w:pBdr>
                <w:bottom w:val="none" w:color="auto" w:sz="0" w:space="0"/>
              </w:pBdr>
              <w:jc w:val="both"/>
              <w:rPr>
                <w:color w:val="000000"/>
                <w:sz w:val="21"/>
                <w:szCs w:val="21"/>
              </w:rPr>
            </w:pPr>
            <w:r>
              <w:rPr>
                <w:rFonts w:hint="eastAsia"/>
                <w:color w:val="000000"/>
                <w:sz w:val="21"/>
                <w:szCs w:val="21"/>
              </w:rPr>
              <w:t>8</w:t>
            </w:r>
            <w:r>
              <w:rPr>
                <w:color w:val="000000"/>
                <w:sz w:val="21"/>
                <w:szCs w:val="21"/>
              </w:rPr>
              <w:t>.5.1</w:t>
            </w:r>
          </w:p>
        </w:tc>
        <w:tc>
          <w:tcPr>
            <w:tcW w:w="934" w:type="dxa"/>
            <w:vAlign w:val="center"/>
          </w:tcPr>
          <w:p>
            <w:pPr>
              <w:pStyle w:val="7"/>
              <w:pBdr>
                <w:bottom w:val="none" w:color="auto" w:sz="0" w:space="0"/>
              </w:pBdr>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8" w:type="dxa"/>
            <w:vAlign w:val="center"/>
          </w:tcPr>
          <w:p>
            <w:pPr>
              <w:pStyle w:val="7"/>
              <w:pBdr>
                <w:bottom w:val="none" w:color="auto" w:sz="0" w:space="0"/>
              </w:pBdr>
              <w:jc w:val="both"/>
              <w:rPr>
                <w:rFonts w:ascii="宋体"/>
                <w:color w:val="000000"/>
                <w:sz w:val="21"/>
                <w:szCs w:val="21"/>
              </w:rPr>
            </w:pPr>
          </w:p>
        </w:tc>
        <w:tc>
          <w:tcPr>
            <w:tcW w:w="59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120" w:type="dxa"/>
            <w:vAlign w:val="center"/>
          </w:tcPr>
          <w:p>
            <w:pPr>
              <w:pStyle w:val="7"/>
              <w:pBdr>
                <w:bottom w:val="none" w:color="auto" w:sz="0" w:space="0"/>
              </w:pBdr>
              <w:jc w:val="both"/>
              <w:rPr>
                <w:color w:val="000000"/>
                <w:sz w:val="21"/>
                <w:szCs w:val="21"/>
              </w:rPr>
            </w:pPr>
          </w:p>
        </w:tc>
        <w:tc>
          <w:tcPr>
            <w:tcW w:w="1133" w:type="dxa"/>
            <w:vAlign w:val="center"/>
          </w:tcPr>
          <w:p>
            <w:pPr>
              <w:pStyle w:val="7"/>
              <w:pBdr>
                <w:bottom w:val="none" w:color="auto" w:sz="0" w:space="0"/>
              </w:pBdr>
              <w:jc w:val="both"/>
              <w:rPr>
                <w:color w:val="000000"/>
                <w:sz w:val="21"/>
                <w:szCs w:val="21"/>
              </w:rPr>
            </w:pPr>
          </w:p>
        </w:tc>
        <w:tc>
          <w:tcPr>
            <w:tcW w:w="934" w:type="dxa"/>
            <w:vAlign w:val="center"/>
          </w:tcPr>
          <w:p>
            <w:pPr>
              <w:pStyle w:val="7"/>
              <w:pBdr>
                <w:bottom w:val="none" w:color="auto" w:sz="0" w:space="0"/>
              </w:pBdr>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jc w:val="both"/>
              <w:rPr>
                <w:rFonts w:ascii="宋体"/>
                <w:color w:val="000000"/>
                <w:sz w:val="21"/>
                <w:szCs w:val="21"/>
              </w:rPr>
            </w:pPr>
          </w:p>
        </w:tc>
        <w:tc>
          <w:tcPr>
            <w:tcW w:w="59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120" w:type="dxa"/>
            <w:vAlign w:val="center"/>
          </w:tcPr>
          <w:p>
            <w:pPr>
              <w:pStyle w:val="7"/>
              <w:pBdr>
                <w:bottom w:val="none" w:color="auto" w:sz="0" w:space="0"/>
              </w:pBdr>
              <w:jc w:val="both"/>
              <w:rPr>
                <w:color w:val="000000"/>
                <w:sz w:val="21"/>
                <w:szCs w:val="21"/>
              </w:rPr>
            </w:pPr>
          </w:p>
        </w:tc>
        <w:tc>
          <w:tcPr>
            <w:tcW w:w="1133" w:type="dxa"/>
            <w:vAlign w:val="center"/>
          </w:tcPr>
          <w:p>
            <w:pPr>
              <w:pStyle w:val="7"/>
              <w:pBdr>
                <w:bottom w:val="none" w:color="auto" w:sz="0" w:space="0"/>
              </w:pBdr>
              <w:jc w:val="both"/>
              <w:rPr>
                <w:color w:val="000000"/>
                <w:sz w:val="21"/>
                <w:szCs w:val="21"/>
              </w:rPr>
            </w:pPr>
          </w:p>
        </w:tc>
        <w:tc>
          <w:tcPr>
            <w:tcW w:w="934" w:type="dxa"/>
            <w:vAlign w:val="center"/>
          </w:tcPr>
          <w:p>
            <w:pPr>
              <w:pStyle w:val="7"/>
              <w:pBdr>
                <w:bottom w:val="none" w:color="auto" w:sz="0" w:space="0"/>
              </w:pBdr>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3360" behindDoc="1" locked="0" layoutInCell="1" allowOverlap="1">
                  <wp:simplePos x="0" y="0"/>
                  <wp:positionH relativeFrom="column">
                    <wp:posOffset>455930</wp:posOffset>
                  </wp:positionH>
                  <wp:positionV relativeFrom="paragraph">
                    <wp:posOffset>141605</wp:posOffset>
                  </wp:positionV>
                  <wp:extent cx="798195" cy="462280"/>
                  <wp:effectExtent l="0" t="0" r="1905" b="7620"/>
                  <wp:wrapTight wrapText="bothSides">
                    <wp:wrapPolygon>
                      <wp:start x="0" y="0"/>
                      <wp:lineTo x="0" y="20769"/>
                      <wp:lineTo x="21308" y="20769"/>
                      <wp:lineTo x="21308" y="0"/>
                      <wp:lineTo x="0" y="0"/>
                    </wp:wrapPolygon>
                  </wp:wrapTight>
                  <wp:docPr id="3" name="图片 3"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7190978092871566"/>
                          <pic:cNvPicPr>
                            <a:picLocks noChangeAspect="1"/>
                          </pic:cNvPicPr>
                        </pic:nvPicPr>
                        <pic:blipFill>
                          <a:blip r:embed="rId6"/>
                          <a:stretch>
                            <a:fillRect/>
                          </a:stretch>
                        </pic:blipFill>
                        <pic:spPr>
                          <a:xfrm>
                            <a:off x="0" y="0"/>
                            <a:ext cx="798195" cy="462280"/>
                          </a:xfrm>
                          <a:prstGeom prst="rect">
                            <a:avLst/>
                          </a:prstGeom>
                        </pic:spPr>
                      </pic:pic>
                    </a:graphicData>
                  </a:graphic>
                </wp:anchor>
              </w:drawing>
            </w:r>
          </w:p>
          <w:p>
            <w:pPr>
              <w:spacing w:line="280" w:lineRule="exact"/>
              <w:rPr>
                <w:rFonts w:hint="eastAsia" w:eastAsia="宋体"/>
                <w:b/>
                <w:color w:val="000000"/>
                <w:szCs w:val="21"/>
                <w:lang w:eastAsia="zh-CN"/>
              </w:rPr>
            </w:pPr>
          </w:p>
          <w:p>
            <w:pPr>
              <w:spacing w:line="280" w:lineRule="exact"/>
              <w:rPr>
                <w:rFonts w:hint="eastAsia" w:eastAsia="宋体"/>
                <w:b/>
                <w:color w:val="000000"/>
                <w:szCs w:val="21"/>
                <w:lang w:eastAsia="zh-CN"/>
              </w:rPr>
            </w:pPr>
          </w:p>
          <w:p>
            <w:pPr>
              <w:spacing w:line="280" w:lineRule="exact"/>
              <w:rPr>
                <w:rFonts w:hint="eastAsia" w:eastAsia="宋体"/>
                <w:b/>
                <w:color w:val="000000"/>
                <w:szCs w:val="21"/>
                <w:lang w:eastAsia="zh-CN"/>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val="en-US" w:eastAsia="zh-CN"/>
              </w:rPr>
            </w:pPr>
            <w:r>
              <w:rPr>
                <w:rFonts w:hint="eastAsia"/>
                <w:b/>
                <w:color w:val="000000"/>
                <w:szCs w:val="21"/>
                <w:lang w:val="en-US" w:eastAsia="zh-CN"/>
              </w:rPr>
              <w:t>谢迪</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128" w:type="dxa"/>
            <w:gridSpan w:val="6"/>
          </w:tcPr>
          <w:p>
            <w:pPr>
              <w:spacing w:line="360" w:lineRule="exact"/>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val="en-US" w:eastAsia="zh-CN"/>
              </w:rPr>
              <w:t>[不适用]</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b/>
                <w:color w:val="000000"/>
                <w:szCs w:val="21"/>
                <w:lang w:eastAsia="zh-CN"/>
              </w:rPr>
              <w:drawing>
                <wp:anchor distT="0" distB="0" distL="114300" distR="114300" simplePos="0" relativeHeight="251664384" behindDoc="1" locked="0" layoutInCell="1" allowOverlap="1">
                  <wp:simplePos x="0" y="0"/>
                  <wp:positionH relativeFrom="column">
                    <wp:posOffset>625475</wp:posOffset>
                  </wp:positionH>
                  <wp:positionV relativeFrom="paragraph">
                    <wp:posOffset>88265</wp:posOffset>
                  </wp:positionV>
                  <wp:extent cx="798195" cy="462280"/>
                  <wp:effectExtent l="0" t="0" r="1905" b="7620"/>
                  <wp:wrapTight wrapText="bothSides">
                    <wp:wrapPolygon>
                      <wp:start x="0" y="0"/>
                      <wp:lineTo x="0" y="20769"/>
                      <wp:lineTo x="21308" y="20769"/>
                      <wp:lineTo x="21308" y="0"/>
                      <wp:lineTo x="0" y="0"/>
                    </wp:wrapPolygon>
                  </wp:wrapTight>
                  <wp:docPr id="5" name="图片 5"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7190978092871566"/>
                          <pic:cNvPicPr>
                            <a:picLocks noChangeAspect="1"/>
                          </pic:cNvPicPr>
                        </pic:nvPicPr>
                        <pic:blipFill>
                          <a:blip r:embed="rId6"/>
                          <a:stretch>
                            <a:fillRect/>
                          </a:stretch>
                        </pic:blipFill>
                        <pic:spPr>
                          <a:xfrm>
                            <a:off x="0" y="0"/>
                            <a:ext cx="798195" cy="462280"/>
                          </a:xfrm>
                          <a:prstGeom prst="rect">
                            <a:avLst/>
                          </a:prstGeom>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
      <w:pPr>
        <w:snapToGrid w:val="0"/>
        <w:spacing w:line="400" w:lineRule="exact"/>
        <w:rPr>
          <w:rFonts w:ascii="宋体"/>
          <w:b/>
          <w:color w:val="000000"/>
          <w:szCs w:val="21"/>
        </w:rPr>
      </w:pPr>
    </w:p>
    <w:p>
      <w:pPr>
        <w:pStyle w:val="6"/>
        <w:rPr>
          <w:rFonts w:hint="eastAsia"/>
          <w:lang w:val="en-US" w:eastAsia="zh-CN"/>
        </w:rPr>
      </w:pPr>
      <w:r>
        <w:rPr>
          <w:rFonts w:hint="eastAsia"/>
          <w:lang w:val="en-US" w:eastAsia="zh-CN"/>
        </w:rPr>
        <w:t>附件：生产工艺流程：</w:t>
      </w: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pStyle w:val="6"/>
        <w:rPr>
          <w:rFonts w:hint="default"/>
          <w:lang w:val="en-US" w:eastAsia="zh-CN"/>
        </w:rPr>
      </w:pPr>
      <w:r>
        <w:drawing>
          <wp:anchor distT="0" distB="0" distL="114300" distR="114300" simplePos="0" relativeHeight="251665408" behindDoc="1" locked="0" layoutInCell="1" allowOverlap="1">
            <wp:simplePos x="0" y="0"/>
            <wp:positionH relativeFrom="column">
              <wp:posOffset>2703830</wp:posOffset>
            </wp:positionH>
            <wp:positionV relativeFrom="paragraph">
              <wp:posOffset>1464945</wp:posOffset>
            </wp:positionV>
            <wp:extent cx="3556000" cy="5143500"/>
            <wp:effectExtent l="0" t="0" r="0" b="0"/>
            <wp:wrapTight wrapText="bothSides">
              <wp:wrapPolygon>
                <wp:start x="0" y="0"/>
                <wp:lineTo x="0" y="21547"/>
                <wp:lineTo x="21523" y="21547"/>
                <wp:lineTo x="21523" y="0"/>
                <wp:lineTo x="0" y="0"/>
              </wp:wrapPolygon>
            </wp:wrapTigh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3556000" cy="514350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-87630</wp:posOffset>
            </wp:positionH>
            <wp:positionV relativeFrom="paragraph">
              <wp:posOffset>1750060</wp:posOffset>
            </wp:positionV>
            <wp:extent cx="3060700" cy="4559300"/>
            <wp:effectExtent l="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3060700" cy="4559300"/>
                    </a:xfrm>
                    <a:prstGeom prst="rect">
                      <a:avLst/>
                    </a:prstGeom>
                    <a:noFill/>
                    <a:ln>
                      <a:noFill/>
                    </a:ln>
                  </pic:spPr>
                </pic:pic>
              </a:graphicData>
            </a:graphic>
          </wp:anchor>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40D53EC7"/>
    <w:multiLevelType w:val="singleLevel"/>
    <w:tmpl w:val="40D53EC7"/>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7996410"/>
    <w:rsid w:val="31EF5153"/>
    <w:rsid w:val="3B251BE5"/>
    <w:rsid w:val="3B762441"/>
    <w:rsid w:val="44AD6ED3"/>
    <w:rsid w:val="49A4642D"/>
    <w:rsid w:val="5A105AE3"/>
    <w:rsid w:val="5D8A44B9"/>
    <w:rsid w:val="5E0A248C"/>
    <w:rsid w:val="6953779A"/>
    <w:rsid w:val="69626D4E"/>
    <w:rsid w:val="6B175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5908</Words>
  <Characters>7062</Characters>
  <Lines>67</Lines>
  <Paragraphs>18</Paragraphs>
  <TotalTime>0</TotalTime>
  <ScaleCrop>false</ScaleCrop>
  <LinksUpToDate>false</LinksUpToDate>
  <CharactersWithSpaces>7347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2022-05-03T01:58:07Z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2052-11.1.0.11691</vt:lpwstr>
  </property>
</Properties>
</file>