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DF525C" w:rsidRPr="00DF525C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DF525C" w:rsidRPr="00DF525C" w:rsidRDefault="00613D91" w:rsidP="003C7AB8">
            <w:pPr>
              <w:spacing w:line="360" w:lineRule="auto"/>
              <w:ind w:leftChars="200" w:left="42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3C7AB8">
              <w:rPr>
                <w:rFonts w:eastAsiaTheme="minorEastAsia" w:hAnsiTheme="minorEastAsia" w:hint="eastAsia"/>
                <w:sz w:val="24"/>
                <w:szCs w:val="24"/>
              </w:rPr>
              <w:t>财务</w:t>
            </w:r>
            <w:r w:rsidR="00E34F41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A13B08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AD1B6B">
              <w:rPr>
                <w:rFonts w:ascii="宋体" w:hAnsi="宋体" w:hint="eastAsia"/>
                <w:sz w:val="24"/>
              </w:rPr>
              <w:t>楼芸</w:t>
            </w:r>
          </w:p>
        </w:tc>
        <w:tc>
          <w:tcPr>
            <w:tcW w:w="1585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:rsidTr="00C2621F">
        <w:trPr>
          <w:trHeight w:val="403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6871D7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3C7AB8">
              <w:rPr>
                <w:rFonts w:eastAsiaTheme="minorEastAsia" w:hAnsiTheme="minorEastAsia" w:hint="eastAsia"/>
                <w:sz w:val="24"/>
                <w:szCs w:val="24"/>
              </w:rPr>
              <w:t>曾赣玲</w:t>
            </w:r>
            <w:r w:rsidR="00D63F73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E911D0">
              <w:rPr>
                <w:rFonts w:eastAsiaTheme="minorEastAsia" w:hint="eastAsia"/>
                <w:sz w:val="24"/>
                <w:szCs w:val="24"/>
              </w:rPr>
              <w:t xml:space="preserve">       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13B08">
              <w:rPr>
                <w:rFonts w:eastAsiaTheme="minorEastAsia" w:hint="eastAsia"/>
                <w:sz w:val="24"/>
                <w:szCs w:val="24"/>
              </w:rPr>
              <w:t>2</w:t>
            </w:r>
            <w:r w:rsidR="00447576">
              <w:rPr>
                <w:rFonts w:eastAsiaTheme="minorEastAsia" w:hint="eastAsia"/>
                <w:sz w:val="24"/>
                <w:szCs w:val="24"/>
              </w:rPr>
              <w:t>2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3C7AB8">
              <w:rPr>
                <w:rFonts w:eastAsiaTheme="minorEastAsia" w:hint="eastAsia"/>
                <w:sz w:val="24"/>
                <w:szCs w:val="24"/>
              </w:rPr>
              <w:t>4</w:t>
            </w:r>
            <w:r w:rsidR="00613D91">
              <w:rPr>
                <w:rFonts w:eastAsiaTheme="minorEastAsia" w:hint="eastAsia"/>
                <w:sz w:val="24"/>
                <w:szCs w:val="24"/>
              </w:rPr>
              <w:t>.</w:t>
            </w:r>
            <w:r w:rsidR="006F61AB">
              <w:rPr>
                <w:rFonts w:eastAsiaTheme="minorEastAsia" w:hint="eastAsia"/>
                <w:sz w:val="24"/>
                <w:szCs w:val="24"/>
              </w:rPr>
              <w:t>27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7E7C0E">
        <w:trPr>
          <w:trHeight w:val="1672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821BCF" w:rsidRPr="00821BCF" w:rsidRDefault="003C7AB8" w:rsidP="006F61AB">
            <w:pPr>
              <w:spacing w:before="120"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EMS /OMS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环境因素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危险源、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质量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职业健康安全目标及其实现的策划、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 xml:space="preserve">8.1 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运行策划和控制，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55A36" w:rsidRPr="00DF525C" w:rsidTr="008F5A57">
        <w:trPr>
          <w:trHeight w:val="830"/>
        </w:trPr>
        <w:tc>
          <w:tcPr>
            <w:tcW w:w="1242" w:type="dxa"/>
            <w:vAlign w:val="center"/>
          </w:tcPr>
          <w:p w:rsidR="00E55A36" w:rsidRPr="00E55A36" w:rsidRDefault="00E55A36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E55A36" w:rsidRPr="00E55A36" w:rsidRDefault="004E0AC3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="00E949E7">
              <w:rPr>
                <w:rFonts w:eastAsiaTheme="minorEastAsia" w:hAnsiTheme="minorEastAsia" w:hint="eastAsia"/>
                <w:sz w:val="24"/>
                <w:szCs w:val="24"/>
              </w:rPr>
              <w:t>O</w:t>
            </w:r>
            <w:r w:rsidR="003C7AB8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ED54AC" w:rsidRDefault="00ED54AC" w:rsidP="00ED54AC">
            <w:pPr>
              <w:spacing w:line="440" w:lineRule="exact"/>
              <w:ind w:firstLineChars="225" w:firstLine="5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主要岗位、职责权限：</w:t>
            </w:r>
          </w:p>
          <w:p w:rsidR="00ED54AC" w:rsidRDefault="00ED54AC" w:rsidP="00ED54AC">
            <w:pPr>
              <w:spacing w:line="440" w:lineRule="exact"/>
              <w:ind w:firstLineChars="225" w:firstLine="5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1、拟定并执行公司各项财务管理制度；财务预算和各项财务计划的制定、分解和落实。</w:t>
            </w:r>
          </w:p>
          <w:p w:rsidR="00ED54AC" w:rsidRDefault="00ED54AC" w:rsidP="00ED54AC">
            <w:pPr>
              <w:spacing w:line="440" w:lineRule="exact"/>
              <w:ind w:firstLineChars="225" w:firstLine="5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2、财务定额、费用开支标准的制定与调整修订。</w:t>
            </w:r>
          </w:p>
          <w:p w:rsidR="00ED54AC" w:rsidRDefault="00ED54AC" w:rsidP="00ED54AC">
            <w:pPr>
              <w:spacing w:line="440" w:lineRule="exact"/>
              <w:ind w:firstLineChars="225" w:firstLine="5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3、负责税收筹划、融资计划、成本控制与管理。财务活动控制，保障财务计划的执行和完成。</w:t>
            </w:r>
          </w:p>
          <w:p w:rsidR="00ED54AC" w:rsidRDefault="00ED54AC" w:rsidP="00ED54AC">
            <w:pPr>
              <w:spacing w:line="440" w:lineRule="exact"/>
              <w:ind w:firstLineChars="225" w:firstLine="5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4、会计核算制度的拟定和执行，进行会计核算、报表编制和分析。</w:t>
            </w:r>
          </w:p>
          <w:p w:rsidR="00ED54AC" w:rsidRDefault="00ED54AC" w:rsidP="00ED54AC">
            <w:pPr>
              <w:spacing w:line="440" w:lineRule="exact"/>
              <w:ind w:firstLineChars="225" w:firstLine="5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5、现金的存、取、转、结等日常管理。</w:t>
            </w:r>
          </w:p>
          <w:p w:rsidR="00ED54AC" w:rsidRDefault="00ED54AC" w:rsidP="00ED54AC">
            <w:pPr>
              <w:spacing w:line="440" w:lineRule="exact"/>
              <w:ind w:firstLineChars="225" w:firstLine="5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6、负责对外统计报表的编制工作。</w:t>
            </w:r>
          </w:p>
          <w:p w:rsidR="00ED54AC" w:rsidRDefault="00ED54AC" w:rsidP="00ED54AC">
            <w:pPr>
              <w:spacing w:line="440" w:lineRule="exact"/>
              <w:ind w:firstLineChars="225" w:firstLine="5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7、公司经营预算的编制。</w:t>
            </w:r>
          </w:p>
          <w:p w:rsidR="00ED54AC" w:rsidRDefault="00ED54AC" w:rsidP="00ED54AC">
            <w:pPr>
              <w:spacing w:line="440" w:lineRule="exact"/>
              <w:ind w:firstLineChars="225" w:firstLine="5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8、负责财务档案的整理、归档和立卷工作。</w:t>
            </w:r>
          </w:p>
          <w:p w:rsidR="00ED54AC" w:rsidRDefault="00ED54AC" w:rsidP="00ED54AC">
            <w:pPr>
              <w:spacing w:line="440" w:lineRule="exact"/>
              <w:ind w:firstLineChars="225" w:firstLine="5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9、配合相关部门对各项财务数据的提供工作。</w:t>
            </w:r>
          </w:p>
          <w:p w:rsidR="00ED54AC" w:rsidRDefault="00ED54AC" w:rsidP="00ED54AC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10、定期对部门人员进行业务能力和职业素养的培训，提升部门人员的综合素质。</w:t>
            </w:r>
          </w:p>
          <w:p w:rsidR="00F76DD4" w:rsidRPr="00DF525C" w:rsidRDefault="00F76DD4" w:rsidP="00ED54AC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E55A36" w:rsidRPr="00DF525C" w:rsidTr="006A1CCA">
        <w:trPr>
          <w:trHeight w:val="547"/>
        </w:trPr>
        <w:tc>
          <w:tcPr>
            <w:tcW w:w="1242" w:type="dxa"/>
            <w:vAlign w:val="center"/>
          </w:tcPr>
          <w:p w:rsidR="00E55A36" w:rsidRDefault="00821BCF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质量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职业健康安全目标及其实现的策划</w:t>
            </w:r>
          </w:p>
        </w:tc>
        <w:tc>
          <w:tcPr>
            <w:tcW w:w="1276" w:type="dxa"/>
            <w:vAlign w:val="center"/>
          </w:tcPr>
          <w:p w:rsidR="00E55A36" w:rsidRDefault="004E0AC3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="00E949E7">
              <w:rPr>
                <w:rFonts w:eastAsiaTheme="minorEastAsia" w:hAnsiTheme="minorEastAsia" w:hint="eastAsia"/>
                <w:sz w:val="24"/>
                <w:szCs w:val="24"/>
              </w:rPr>
              <w:t>O</w:t>
            </w:r>
            <w:r w:rsidR="003C7AB8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E55A36" w:rsidRPr="00EB3558">
              <w:rPr>
                <w:rFonts w:eastAsiaTheme="minorEastAsia" w:hAnsiTheme="minorEastAsia" w:hint="eastAsia"/>
                <w:sz w:val="24"/>
                <w:szCs w:val="24"/>
              </w:rPr>
              <w:t xml:space="preserve"> 6.2</w:t>
            </w:r>
          </w:p>
        </w:tc>
        <w:tc>
          <w:tcPr>
            <w:tcW w:w="10606" w:type="dxa"/>
            <w:vAlign w:val="center"/>
          </w:tcPr>
          <w:p w:rsidR="00564A50" w:rsidRDefault="00564A50" w:rsidP="00564A50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564A50">
              <w:rPr>
                <w:rFonts w:eastAsiaTheme="minorEastAsia" w:hAnsiTheme="minorEastAsia" w:hint="eastAsia"/>
                <w:sz w:val="24"/>
                <w:szCs w:val="24"/>
              </w:rPr>
              <w:t>查见“质量</w:t>
            </w:r>
            <w:r w:rsidRPr="00564A50">
              <w:rPr>
                <w:rFonts w:eastAsiaTheme="minorEastAsia" w:hAnsiTheme="minorEastAsia" w:hint="eastAsia"/>
                <w:sz w:val="24"/>
                <w:szCs w:val="24"/>
              </w:rPr>
              <w:t>\</w:t>
            </w:r>
            <w:r w:rsidRPr="00564A50"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 w:rsidRPr="00564A50">
              <w:rPr>
                <w:rFonts w:eastAsiaTheme="minorEastAsia" w:hAnsiTheme="minorEastAsia" w:hint="eastAsia"/>
                <w:sz w:val="24"/>
                <w:szCs w:val="24"/>
              </w:rPr>
              <w:t>\</w:t>
            </w:r>
            <w:r w:rsidRPr="00564A50">
              <w:rPr>
                <w:rFonts w:eastAsiaTheme="minorEastAsia" w:hAnsiTheme="minorEastAsia" w:hint="eastAsia"/>
                <w:sz w:val="24"/>
                <w:szCs w:val="24"/>
              </w:rPr>
              <w:t>职业健康安全目标分解考核表”，见财务部的目标：</w:t>
            </w:r>
          </w:p>
          <w:p w:rsidR="00BB7131" w:rsidRDefault="00BB7131" w:rsidP="00F76DD4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a．固体废弃物分类处置率100%；</w:t>
            </w:r>
          </w:p>
          <w:p w:rsidR="00BB7131" w:rsidRDefault="00F76DD4" w:rsidP="00BB7131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b</w:t>
            </w:r>
            <w:r w:rsidR="00BB7131">
              <w:rPr>
                <w:rFonts w:ascii="宋体" w:hAnsi="宋体" w:hint="eastAsia"/>
                <w:color w:val="000000"/>
                <w:sz w:val="24"/>
              </w:rPr>
              <w:t>.环保、安全资金提供及时率100%。</w:t>
            </w:r>
          </w:p>
          <w:p w:rsidR="00F76DD4" w:rsidRPr="00564A50" w:rsidRDefault="00F76DD4" w:rsidP="00F76DD4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c.火灾、触电事故为0</w:t>
            </w:r>
          </w:p>
          <w:p w:rsidR="00723702" w:rsidRPr="00723702" w:rsidRDefault="00564A50" w:rsidP="00723702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564A50">
              <w:rPr>
                <w:rFonts w:eastAsiaTheme="minorEastAsia" w:hAnsiTheme="minorEastAsia" w:hint="eastAsia"/>
                <w:sz w:val="24"/>
                <w:szCs w:val="24"/>
              </w:rPr>
              <w:t>策划了“</w:t>
            </w:r>
            <w:r w:rsidR="00BB7131"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 w:rsidR="004461C3">
              <w:rPr>
                <w:rFonts w:eastAsiaTheme="minorEastAsia" w:hAnsiTheme="minorEastAsia" w:hint="eastAsia"/>
                <w:sz w:val="24"/>
                <w:szCs w:val="24"/>
              </w:rPr>
              <w:t>年目标</w:t>
            </w:r>
            <w:r w:rsidR="006E27B2">
              <w:rPr>
                <w:rFonts w:eastAsiaTheme="minorEastAsia" w:hAnsiTheme="minorEastAsia" w:hint="eastAsia"/>
                <w:sz w:val="24"/>
                <w:szCs w:val="24"/>
              </w:rPr>
              <w:t>管理方案”，</w:t>
            </w:r>
            <w:r w:rsidR="006E27B2" w:rsidRPr="0030479C"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="006E27B2" w:rsidRPr="006E27B2">
              <w:rPr>
                <w:rFonts w:ascii="宋体" w:hAnsi="宋体" w:hint="eastAsia"/>
                <w:color w:val="000000"/>
                <w:sz w:val="24"/>
              </w:rPr>
              <w:t>保留“</w:t>
            </w:r>
            <w:r w:rsidR="006E27B2" w:rsidRPr="006E27B2">
              <w:rPr>
                <w:rFonts w:ascii="宋体" w:hAnsi="宋体"/>
                <w:color w:val="000000"/>
                <w:sz w:val="24"/>
              </w:rPr>
              <w:t>目标</w:t>
            </w:r>
            <w:r w:rsidR="006E27B2">
              <w:rPr>
                <w:rFonts w:ascii="宋体" w:hAnsi="宋体" w:hint="eastAsia"/>
                <w:color w:val="000000"/>
                <w:sz w:val="24"/>
              </w:rPr>
              <w:t>分解及</w:t>
            </w:r>
            <w:r w:rsidR="006E27B2" w:rsidRPr="006E27B2">
              <w:rPr>
                <w:rFonts w:ascii="宋体" w:hAnsi="宋体"/>
                <w:color w:val="000000"/>
                <w:sz w:val="24"/>
              </w:rPr>
              <w:t>考核表</w:t>
            </w:r>
            <w:r w:rsidR="006E27B2" w:rsidRPr="006E27B2">
              <w:rPr>
                <w:rFonts w:ascii="宋体" w:hAnsi="宋体" w:hint="eastAsia"/>
                <w:color w:val="000000"/>
                <w:sz w:val="24"/>
              </w:rPr>
              <w:t>”，</w:t>
            </w:r>
            <w:r w:rsidR="006E27B2">
              <w:rPr>
                <w:rFonts w:ascii="宋体" w:hAnsi="宋体" w:hint="eastAsia"/>
                <w:color w:val="000000"/>
                <w:sz w:val="24"/>
              </w:rPr>
              <w:t>查见</w:t>
            </w:r>
            <w:r w:rsidR="006E27B2" w:rsidRPr="006E27B2">
              <w:rPr>
                <w:rFonts w:ascii="宋体" w:hAnsi="宋体" w:hint="eastAsia"/>
                <w:color w:val="000000"/>
                <w:sz w:val="24"/>
              </w:rPr>
              <w:t>部门进行了分解，</w:t>
            </w:r>
            <w:r w:rsidR="00723702">
              <w:rPr>
                <w:rFonts w:ascii="宋体" w:hAnsi="宋体" w:hint="eastAsia"/>
                <w:color w:val="000000"/>
                <w:sz w:val="24"/>
              </w:rPr>
              <w:t>2022年1月4日</w:t>
            </w:r>
            <w:r w:rsidR="006E27B2" w:rsidRPr="006E27B2">
              <w:rPr>
                <w:rFonts w:ascii="宋体" w:hAnsi="宋体" w:hint="eastAsia"/>
                <w:color w:val="000000"/>
                <w:sz w:val="24"/>
              </w:rPr>
              <w:t>考核结果显示</w:t>
            </w:r>
            <w:r w:rsidR="00723702" w:rsidRPr="00723702">
              <w:rPr>
                <w:rFonts w:ascii="宋体" w:hAnsi="宋体" w:hint="eastAsia"/>
                <w:color w:val="000000"/>
                <w:sz w:val="24"/>
              </w:rPr>
              <w:t>2021年6-12月</w:t>
            </w:r>
            <w:r w:rsidR="00723702" w:rsidRPr="00723702">
              <w:rPr>
                <w:rFonts w:ascii="宋体" w:hAnsi="宋体"/>
                <w:color w:val="000000"/>
                <w:sz w:val="24"/>
              </w:rPr>
              <w:t>各指标已达成。</w:t>
            </w:r>
          </w:p>
          <w:p w:rsidR="00564A50" w:rsidRPr="006E27B2" w:rsidRDefault="00564A50" w:rsidP="008C4C09">
            <w:pPr>
              <w:pStyle w:val="a7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  <w:p w:rsidR="00A6564D" w:rsidRPr="00686476" w:rsidRDefault="00A6564D" w:rsidP="00564A5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F525C" w:rsidRPr="00DF525C" w:rsidTr="008F5A57">
        <w:trPr>
          <w:trHeight w:val="830"/>
        </w:trPr>
        <w:tc>
          <w:tcPr>
            <w:tcW w:w="1242" w:type="dxa"/>
            <w:vAlign w:val="center"/>
          </w:tcPr>
          <w:p w:rsidR="00A13B08" w:rsidRDefault="00821BCF" w:rsidP="008F5A5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环境因素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危险源</w:t>
            </w:r>
          </w:p>
          <w:p w:rsidR="00A13B08" w:rsidRPr="00DF525C" w:rsidRDefault="00A13B08" w:rsidP="008F5A57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25C" w:rsidRDefault="00CD55C7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</w:t>
            </w:r>
            <w:r w:rsidR="00E949E7">
              <w:rPr>
                <w:rFonts w:eastAsiaTheme="minorEastAsia" w:hint="eastAsia"/>
                <w:sz w:val="24"/>
                <w:szCs w:val="24"/>
              </w:rPr>
              <w:t xml:space="preserve">O </w:t>
            </w:r>
            <w:r w:rsidR="00821BCF">
              <w:rPr>
                <w:rFonts w:eastAsiaTheme="minorEastAsia" w:hint="eastAsia"/>
                <w:sz w:val="24"/>
                <w:szCs w:val="24"/>
              </w:rPr>
              <w:t>：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8B3157" w:rsidRDefault="008B3157" w:rsidP="00ED54AC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查有《</w:t>
            </w:r>
            <w:r>
              <w:rPr>
                <w:rFonts w:hint="eastAsia"/>
                <w:sz w:val="22"/>
                <w:szCs w:val="28"/>
              </w:rPr>
              <w:t>环境因素和危险源识别评价与控制程序</w:t>
            </w:r>
            <w:r w:rsidRPr="00DE63B1">
              <w:rPr>
                <w:rFonts w:eastAsiaTheme="minorEastAsia" w:hAnsiTheme="minorEastAsia"/>
                <w:sz w:val="24"/>
                <w:szCs w:val="24"/>
              </w:rPr>
              <w:t>》</w:t>
            </w:r>
          </w:p>
          <w:p w:rsidR="008B3157" w:rsidRDefault="008B3157" w:rsidP="00ED54AC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DE63B1">
              <w:rPr>
                <w:rFonts w:eastAsiaTheme="minorEastAsia" w:hAnsiTheme="minorEastAsia"/>
                <w:sz w:val="24"/>
                <w:szCs w:val="24"/>
              </w:rPr>
              <w:t>查“</w:t>
            </w:r>
            <w:r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辩</w:t>
            </w:r>
            <w:r>
              <w:rPr>
                <w:rFonts w:eastAsiaTheme="minorEastAsia" w:hAnsiTheme="minorEastAsia"/>
                <w:sz w:val="24"/>
                <w:szCs w:val="24"/>
              </w:rPr>
              <w:t>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和</w:t>
            </w:r>
            <w:r>
              <w:rPr>
                <w:rFonts w:eastAsiaTheme="minorEastAsia" w:hAnsiTheme="minorEastAsia"/>
                <w:sz w:val="24"/>
                <w:szCs w:val="24"/>
              </w:rPr>
              <w:t>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价</w:t>
            </w:r>
            <w:r w:rsidRPr="00DE63B1">
              <w:rPr>
                <w:rFonts w:eastAsiaTheme="minorEastAsia" w:hAnsiTheme="minorEastAsia"/>
                <w:sz w:val="24"/>
                <w:szCs w:val="24"/>
              </w:rPr>
              <w:t>表”，</w:t>
            </w:r>
            <w:r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财务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部有对所属区域范围内产品检验和办公活动中的环境因素进行识别、评价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识别的环境因素主要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包括办公垃圾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064E3B">
              <w:rPr>
                <w:rFonts w:hAnsi="宋体" w:hint="eastAsia"/>
                <w:sz w:val="24"/>
                <w:szCs w:val="24"/>
              </w:rPr>
              <w:t>废弃的打印机墨盒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064E3B">
              <w:rPr>
                <w:rFonts w:hAnsi="宋体" w:hint="eastAsia"/>
                <w:sz w:val="24"/>
                <w:szCs w:val="24"/>
              </w:rPr>
              <w:t>废弃</w:t>
            </w:r>
            <w:r w:rsidRPr="00064E3B">
              <w:rPr>
                <w:rFonts w:eastAsiaTheme="minorEastAsia" w:hAnsiTheme="minorEastAsia" w:hint="eastAsia"/>
                <w:sz w:val="24"/>
                <w:szCs w:val="24"/>
              </w:rPr>
              <w:t>电池、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纸张能源</w:t>
            </w:r>
            <w:r>
              <w:rPr>
                <w:rFonts w:eastAsiaTheme="minorEastAsia" w:hAnsiTheme="minorEastAsia"/>
                <w:sz w:val="24"/>
                <w:szCs w:val="24"/>
              </w:rPr>
              <w:t>消耗等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8B3157" w:rsidRPr="00064E3B" w:rsidRDefault="008B3157" w:rsidP="00ED54AC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重要环境因素是固废排放和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潜在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火灾事故的发生。</w:t>
            </w:r>
          </w:p>
          <w:p w:rsidR="008B3157" w:rsidRDefault="008B3157" w:rsidP="008B3157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控制措施：固废分类存放、垃圾等由办公室负责按规定处置，日常监督检查和培训教育</w:t>
            </w:r>
          </w:p>
          <w:p w:rsidR="008B3157" w:rsidRPr="00DE63B1" w:rsidRDefault="008B3157" w:rsidP="008B3157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E63B1">
              <w:rPr>
                <w:rFonts w:eastAsiaTheme="minorEastAsia" w:hAnsiTheme="minorEastAsia"/>
                <w:sz w:val="24"/>
                <w:szCs w:val="24"/>
              </w:rPr>
              <w:t>查“危险源识别及风险评价表”</w:t>
            </w:r>
            <w:r>
              <w:rPr>
                <w:rFonts w:eastAsiaTheme="minorEastAsia" w:hAnsiTheme="minorEastAsia"/>
                <w:sz w:val="24"/>
                <w:szCs w:val="24"/>
              </w:rPr>
              <w:t>，识别了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不间断电源短路、烟头、地面湿滑、上下班途中违章驾驶</w:t>
            </w:r>
            <w:r w:rsidRPr="00DE63B1">
              <w:rPr>
                <w:rFonts w:eastAsiaTheme="minorEastAsia" w:hAnsiTheme="minorEastAsia"/>
                <w:sz w:val="24"/>
                <w:szCs w:val="24"/>
              </w:rPr>
              <w:t>等危险源。</w:t>
            </w:r>
          </w:p>
          <w:p w:rsidR="008B3157" w:rsidRPr="00DE63B1" w:rsidRDefault="008B3157" w:rsidP="008B3157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E63B1">
              <w:rPr>
                <w:rFonts w:eastAsiaTheme="minorEastAsia" w:hAnsiTheme="minorEastAsia"/>
                <w:sz w:val="24"/>
                <w:szCs w:val="24"/>
              </w:rPr>
              <w:t>查《不可接受风险清单》，涉及本部门的有</w:t>
            </w:r>
            <w:r w:rsidRPr="00DE63B1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DE63B1">
              <w:rPr>
                <w:rFonts w:eastAsiaTheme="minorEastAsia" w:hAnsiTheme="minorEastAsia"/>
                <w:sz w:val="24"/>
                <w:szCs w:val="24"/>
              </w:rPr>
              <w:t>个不可接受风险，包括：触电、火灾事故的发生。</w:t>
            </w:r>
          </w:p>
          <w:p w:rsidR="00C2621F" w:rsidRPr="00821BCF" w:rsidRDefault="008B3157" w:rsidP="008B3157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控制措施：危险源控制执行管理方案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E5A04">
              <w:rPr>
                <w:rFonts w:eastAsiaTheme="minorEastAsia" w:hAnsiTheme="minorEastAsia" w:hint="eastAsia"/>
                <w:sz w:val="24"/>
                <w:szCs w:val="24"/>
              </w:rPr>
              <w:t>完善用电管理制度，加强消防检查、做好应急响应工作</w:t>
            </w:r>
            <w:r w:rsidRPr="00DE63B1">
              <w:rPr>
                <w:rFonts w:eastAsiaTheme="minorEastAsia" w:hAnsiTheme="minorEastAsia"/>
                <w:sz w:val="24"/>
                <w:szCs w:val="24"/>
              </w:rPr>
              <w:t>部门识别和评价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821BCF" w:rsidRPr="00DF525C" w:rsidTr="001021F8">
        <w:trPr>
          <w:trHeight w:val="715"/>
        </w:trPr>
        <w:tc>
          <w:tcPr>
            <w:tcW w:w="1242" w:type="dxa"/>
            <w:vAlign w:val="center"/>
          </w:tcPr>
          <w:p w:rsidR="00821BCF" w:rsidRDefault="00821BCF" w:rsidP="00DB500D">
            <w:pPr>
              <w:snapToGrid w:val="0"/>
              <w:spacing w:line="360" w:lineRule="auto"/>
              <w:jc w:val="center"/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  <w:vAlign w:val="center"/>
          </w:tcPr>
          <w:p w:rsidR="00821BCF" w:rsidRDefault="00821BCF" w:rsidP="00821BC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 xml:space="preserve">EO </w:t>
            </w:r>
            <w:r>
              <w:rPr>
                <w:rFonts w:eastAsiaTheme="minorEastAsia" w:hint="eastAsia"/>
                <w:sz w:val="24"/>
                <w:szCs w:val="24"/>
              </w:rPr>
              <w:t>：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DF525C">
              <w:rPr>
                <w:rFonts w:eastAsiaTheme="minorEastAsia"/>
                <w:sz w:val="24"/>
                <w:szCs w:val="24"/>
              </w:rPr>
              <w:t>.1</w:t>
            </w:r>
          </w:p>
          <w:p w:rsidR="00821BCF" w:rsidRPr="006D64A6" w:rsidRDefault="00821BCF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EA6ABC" w:rsidRDefault="00EA6ABC" w:rsidP="00FC2644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远程</w:t>
            </w:r>
            <w:r w:rsidR="00BB7131" w:rsidRPr="00FC2644">
              <w:rPr>
                <w:rFonts w:eastAsiaTheme="minorEastAsia" w:hAnsiTheme="minorEastAsia" w:hint="eastAsia"/>
                <w:sz w:val="24"/>
                <w:szCs w:val="24"/>
              </w:rPr>
              <w:t>观察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及沟通了解到：</w:t>
            </w:r>
          </w:p>
          <w:p w:rsidR="00BB7131" w:rsidRPr="00FC2644" w:rsidRDefault="00EA6ABC" w:rsidP="00FC2644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办公环境</w:t>
            </w:r>
            <w:r w:rsidR="00BB7131" w:rsidRPr="00FC2644">
              <w:rPr>
                <w:rFonts w:eastAsiaTheme="minorEastAsia" w:hAnsiTheme="minorEastAsia" w:hint="eastAsia"/>
                <w:sz w:val="24"/>
                <w:szCs w:val="24"/>
              </w:rPr>
              <w:t>符合人机工程要求，干净整洁，照明、通风良好；配置有空调，温度适宜；有少量绿植；</w:t>
            </w:r>
          </w:p>
          <w:p w:rsidR="00BB7131" w:rsidRPr="00FC2644" w:rsidRDefault="00EA6ABC" w:rsidP="00EA6ABC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配置有灭火器，状态良好</w:t>
            </w:r>
            <w:r w:rsidR="00BB7131" w:rsidRPr="00FC2644">
              <w:rPr>
                <w:rFonts w:eastAsiaTheme="minorEastAsia" w:hAnsiTheme="minorEastAsia" w:hint="eastAsia"/>
                <w:sz w:val="24"/>
                <w:szCs w:val="24"/>
              </w:rPr>
              <w:t>；节约用水用电、纸张双面使用、禁止吸烟、无乱拉乱接电线、无超额电器使用；</w:t>
            </w:r>
          </w:p>
          <w:p w:rsidR="00BB7131" w:rsidRPr="00FC2644" w:rsidRDefault="00EA6ABC" w:rsidP="00EA6ABC">
            <w:pPr>
              <w:pStyle w:val="a7"/>
              <w:tabs>
                <w:tab w:val="left" w:pos="5773"/>
              </w:tabs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生活废水经市政管网排放，</w:t>
            </w:r>
            <w:r w:rsidR="00BB7131" w:rsidRPr="00FC2644">
              <w:rPr>
                <w:rFonts w:eastAsiaTheme="minorEastAsia" w:hAnsiTheme="minorEastAsia" w:hint="eastAsia"/>
                <w:sz w:val="24"/>
                <w:szCs w:val="24"/>
              </w:rPr>
              <w:t>办公环境安静，无明显噪声和废气；</w:t>
            </w:r>
          </w:p>
          <w:p w:rsidR="00821BCF" w:rsidRPr="006D64A6" w:rsidRDefault="00BB7131" w:rsidP="00EA6ABC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办公用固废集中回收，市政环卫部门收集处理；办公用墨盒硒鼓等危废以旧换新。</w:t>
            </w:r>
          </w:p>
        </w:tc>
        <w:tc>
          <w:tcPr>
            <w:tcW w:w="1585" w:type="dxa"/>
            <w:vAlign w:val="center"/>
          </w:tcPr>
          <w:p w:rsidR="00821BCF" w:rsidRDefault="001021F8" w:rsidP="0078623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6D64A6" w:rsidRPr="00DF525C" w:rsidTr="001F5197">
        <w:trPr>
          <w:trHeight w:val="2416"/>
        </w:trPr>
        <w:tc>
          <w:tcPr>
            <w:tcW w:w="1242" w:type="dxa"/>
            <w:vAlign w:val="center"/>
          </w:tcPr>
          <w:p w:rsidR="006D64A6" w:rsidRPr="006D64A6" w:rsidRDefault="00821BCF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1021F8"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 w:rsidRPr="001021F8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</w:tc>
        <w:tc>
          <w:tcPr>
            <w:tcW w:w="1276" w:type="dxa"/>
            <w:vAlign w:val="center"/>
          </w:tcPr>
          <w:p w:rsidR="006D64A6" w:rsidRPr="006D64A6" w:rsidRDefault="006D64A6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BB7131" w:rsidRPr="00FC2644" w:rsidRDefault="00BB7131" w:rsidP="00FC2644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建立有财务管理制度；</w:t>
            </w:r>
          </w:p>
          <w:p w:rsidR="00BB7131" w:rsidRDefault="00BB7131" w:rsidP="00FC2644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提供数据：</w:t>
            </w:r>
          </w:p>
          <w:p w:rsidR="0090107E" w:rsidRPr="006223BE" w:rsidRDefault="0090107E" w:rsidP="006223BE">
            <w:pPr>
              <w:pStyle w:val="a7"/>
              <w:tabs>
                <w:tab w:val="left" w:pos="5773"/>
              </w:tabs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6223BE">
              <w:rPr>
                <w:rFonts w:eastAsiaTheme="minorEastAsia" w:hAnsiTheme="minorEastAsia" w:hint="eastAsia"/>
                <w:sz w:val="24"/>
                <w:szCs w:val="24"/>
              </w:rPr>
              <w:t>社保费支出——</w:t>
            </w:r>
            <w:r w:rsidR="006223BE" w:rsidRPr="006223BE">
              <w:rPr>
                <w:rFonts w:eastAsiaTheme="minorEastAsia" w:hAnsiTheme="minorEastAsia" w:hint="eastAsia"/>
                <w:sz w:val="24"/>
                <w:szCs w:val="24"/>
              </w:rPr>
              <w:t>370417.34</w:t>
            </w:r>
            <w:r w:rsidRPr="006223BE">
              <w:rPr>
                <w:rFonts w:eastAsiaTheme="minorEastAsia" w:hAnsiTheme="minorEastAsia" w:hint="eastAsia"/>
                <w:sz w:val="24"/>
                <w:szCs w:val="24"/>
              </w:rPr>
              <w:t>元</w:t>
            </w:r>
          </w:p>
          <w:p w:rsidR="00BB7131" w:rsidRPr="006223BE" w:rsidRDefault="00BB7131" w:rsidP="006223BE">
            <w:pPr>
              <w:pStyle w:val="a7"/>
              <w:tabs>
                <w:tab w:val="left" w:pos="5773"/>
              </w:tabs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6223BE">
              <w:rPr>
                <w:rFonts w:eastAsiaTheme="minorEastAsia" w:hAnsiTheme="minorEastAsia" w:hint="eastAsia"/>
                <w:sz w:val="24"/>
                <w:szCs w:val="24"/>
              </w:rPr>
              <w:t>安全</w:t>
            </w:r>
            <w:r w:rsidR="0090107E" w:rsidRPr="006223BE">
              <w:rPr>
                <w:rFonts w:eastAsiaTheme="minorEastAsia" w:hAnsiTheme="minorEastAsia" w:hint="eastAsia"/>
                <w:sz w:val="24"/>
                <w:szCs w:val="24"/>
              </w:rPr>
              <w:t>教育培训费用</w:t>
            </w:r>
            <w:r w:rsidRPr="006223BE">
              <w:rPr>
                <w:rFonts w:eastAsiaTheme="minorEastAsia" w:hAnsiTheme="minorEastAsia" w:hint="eastAsia"/>
                <w:sz w:val="24"/>
                <w:szCs w:val="24"/>
              </w:rPr>
              <w:t>支出——</w:t>
            </w:r>
            <w:r w:rsidR="00222FF6" w:rsidRPr="006223BE">
              <w:rPr>
                <w:rFonts w:eastAsiaTheme="minorEastAsia" w:hAnsiTheme="minorEastAsia" w:hint="eastAsia"/>
                <w:sz w:val="24"/>
                <w:szCs w:val="24"/>
              </w:rPr>
              <w:t>11350</w:t>
            </w:r>
            <w:r w:rsidR="0090107E" w:rsidRPr="006223BE">
              <w:rPr>
                <w:rFonts w:eastAsiaTheme="minorEastAsia" w:hAnsiTheme="minorEastAsia" w:hint="eastAsia"/>
                <w:sz w:val="24"/>
                <w:szCs w:val="24"/>
              </w:rPr>
              <w:t>元</w:t>
            </w:r>
          </w:p>
          <w:p w:rsidR="00BB7131" w:rsidRPr="006223BE" w:rsidRDefault="00BB7131" w:rsidP="006223BE">
            <w:pPr>
              <w:pStyle w:val="a7"/>
              <w:tabs>
                <w:tab w:val="left" w:pos="5773"/>
              </w:tabs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6223BE">
              <w:rPr>
                <w:rFonts w:eastAsiaTheme="minorEastAsia" w:hAnsiTheme="minorEastAsia" w:hint="eastAsia"/>
                <w:sz w:val="24"/>
                <w:szCs w:val="24"/>
              </w:rPr>
              <w:t>环保方面费用支出——</w:t>
            </w:r>
            <w:r w:rsidR="006223BE" w:rsidRPr="006223BE">
              <w:rPr>
                <w:rFonts w:eastAsiaTheme="minorEastAsia" w:hAnsiTheme="minorEastAsia" w:hint="eastAsia"/>
                <w:sz w:val="24"/>
                <w:szCs w:val="24"/>
              </w:rPr>
              <w:t>50000</w:t>
            </w:r>
            <w:r w:rsidR="0090107E" w:rsidRPr="006223BE">
              <w:rPr>
                <w:rFonts w:eastAsiaTheme="minorEastAsia" w:hAnsiTheme="minorEastAsia" w:hint="eastAsia"/>
                <w:sz w:val="24"/>
                <w:szCs w:val="24"/>
              </w:rPr>
              <w:t>元</w:t>
            </w:r>
          </w:p>
          <w:p w:rsidR="0090107E" w:rsidRPr="006223BE" w:rsidRDefault="0090107E" w:rsidP="006223BE">
            <w:pPr>
              <w:pStyle w:val="a7"/>
              <w:tabs>
                <w:tab w:val="left" w:pos="5773"/>
              </w:tabs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6223BE">
              <w:rPr>
                <w:rFonts w:eastAsiaTheme="minorEastAsia" w:hAnsiTheme="minorEastAsia" w:hint="eastAsia"/>
                <w:sz w:val="24"/>
                <w:szCs w:val="24"/>
              </w:rPr>
              <w:t>垃圾处理费支出——</w:t>
            </w:r>
            <w:r w:rsidR="006223BE" w:rsidRPr="006223BE">
              <w:rPr>
                <w:rFonts w:eastAsiaTheme="minorEastAsia" w:hAnsiTheme="minorEastAsia" w:hint="eastAsia"/>
                <w:sz w:val="24"/>
                <w:szCs w:val="24"/>
              </w:rPr>
              <w:t>3600</w:t>
            </w:r>
            <w:r w:rsidRPr="006223BE">
              <w:rPr>
                <w:rFonts w:eastAsiaTheme="minorEastAsia" w:hAnsiTheme="minorEastAsia" w:hint="eastAsia"/>
                <w:sz w:val="24"/>
                <w:szCs w:val="24"/>
              </w:rPr>
              <w:t>元</w:t>
            </w:r>
          </w:p>
          <w:p w:rsidR="0090107E" w:rsidRPr="006223BE" w:rsidRDefault="0090107E" w:rsidP="006223BE">
            <w:pPr>
              <w:pStyle w:val="a7"/>
              <w:tabs>
                <w:tab w:val="left" w:pos="5773"/>
              </w:tabs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6223BE">
              <w:rPr>
                <w:rFonts w:eastAsiaTheme="minorEastAsia" w:hAnsiTheme="minorEastAsia" w:hint="eastAsia"/>
                <w:sz w:val="24"/>
                <w:szCs w:val="24"/>
              </w:rPr>
              <w:t>消防设备费用支出——</w:t>
            </w:r>
            <w:r w:rsidR="006223BE" w:rsidRPr="006223BE">
              <w:rPr>
                <w:rFonts w:eastAsiaTheme="minorEastAsia" w:hAnsiTheme="minorEastAsia" w:hint="eastAsia"/>
                <w:sz w:val="24"/>
                <w:szCs w:val="24"/>
              </w:rPr>
              <w:t>6300</w:t>
            </w:r>
            <w:r w:rsidRPr="006223BE">
              <w:rPr>
                <w:rFonts w:eastAsiaTheme="minorEastAsia" w:hAnsiTheme="minorEastAsia" w:hint="eastAsia"/>
                <w:sz w:val="24"/>
                <w:szCs w:val="24"/>
              </w:rPr>
              <w:t>元</w:t>
            </w:r>
          </w:p>
          <w:p w:rsidR="0090107E" w:rsidRPr="006223BE" w:rsidRDefault="0090107E" w:rsidP="006223BE">
            <w:pPr>
              <w:pStyle w:val="a7"/>
              <w:tabs>
                <w:tab w:val="left" w:pos="5773"/>
              </w:tabs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6223BE">
              <w:rPr>
                <w:rFonts w:eastAsiaTheme="minorEastAsia" w:hAnsiTheme="minorEastAsia" w:hint="eastAsia"/>
                <w:sz w:val="24"/>
                <w:szCs w:val="24"/>
              </w:rPr>
              <w:t>劳保用品费用支出——</w:t>
            </w:r>
            <w:r w:rsidR="006223BE" w:rsidRPr="006223BE">
              <w:rPr>
                <w:rFonts w:eastAsiaTheme="minorEastAsia" w:hAnsiTheme="minorEastAsia" w:hint="eastAsia"/>
                <w:sz w:val="24"/>
                <w:szCs w:val="24"/>
              </w:rPr>
              <w:t>64780.98</w:t>
            </w:r>
            <w:r w:rsidRPr="006223BE">
              <w:rPr>
                <w:rFonts w:eastAsiaTheme="minorEastAsia" w:hAnsiTheme="minorEastAsia" w:hint="eastAsia"/>
                <w:sz w:val="24"/>
                <w:szCs w:val="24"/>
              </w:rPr>
              <w:t>元</w:t>
            </w:r>
          </w:p>
          <w:p w:rsidR="006D64A6" w:rsidRPr="006D64A6" w:rsidRDefault="00BB7131" w:rsidP="006223BE">
            <w:pPr>
              <w:pStyle w:val="a7"/>
              <w:tabs>
                <w:tab w:val="left" w:pos="5773"/>
              </w:tabs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6223BE">
              <w:rPr>
                <w:rFonts w:eastAsiaTheme="minorEastAsia" w:hAnsiTheme="minorEastAsia" w:hint="eastAsia"/>
                <w:sz w:val="24"/>
                <w:szCs w:val="24"/>
              </w:rPr>
              <w:t>资金能够保障。</w:t>
            </w:r>
          </w:p>
        </w:tc>
        <w:tc>
          <w:tcPr>
            <w:tcW w:w="1585" w:type="dxa"/>
            <w:vAlign w:val="center"/>
          </w:tcPr>
          <w:p w:rsidR="006D64A6" w:rsidRDefault="001021F8" w:rsidP="0078623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52F" w:rsidRDefault="00FF052F" w:rsidP="004749F5">
      <w:r>
        <w:separator/>
      </w:r>
    </w:p>
  </w:endnote>
  <w:endnote w:type="continuationSeparator" w:id="0">
    <w:p w:rsidR="00FF052F" w:rsidRDefault="00FF052F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55363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223B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223B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52F" w:rsidRDefault="00FF052F" w:rsidP="004749F5">
      <w:r>
        <w:separator/>
      </w:r>
    </w:p>
  </w:footnote>
  <w:footnote w:type="continuationSeparator" w:id="0">
    <w:p w:rsidR="00FF052F" w:rsidRDefault="00FF052F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4D" w:rsidRDefault="00D0164D" w:rsidP="001021F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633" w:rsidRPr="0055363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:rsidR="00D0164D" w:rsidRDefault="00D0164D" w:rsidP="00D016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0164D" w:rsidRDefault="00D0164D" w:rsidP="001021F8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2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4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5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abstractNum w:abstractNumId="6">
    <w:nsid w:val="6DA21C13"/>
    <w:multiLevelType w:val="hybridMultilevel"/>
    <w:tmpl w:val="93CA182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>
      <o:colormenu v:ext="edit" fillcolor="none [1942]"/>
    </o:shapedefaults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3544B"/>
    <w:rsid w:val="0003628E"/>
    <w:rsid w:val="00036BA3"/>
    <w:rsid w:val="000417AF"/>
    <w:rsid w:val="0004695D"/>
    <w:rsid w:val="00046CBC"/>
    <w:rsid w:val="00047B7D"/>
    <w:rsid w:val="00066CC7"/>
    <w:rsid w:val="0008705B"/>
    <w:rsid w:val="000A0FE8"/>
    <w:rsid w:val="000C3B9A"/>
    <w:rsid w:val="000C3CF0"/>
    <w:rsid w:val="000C63B7"/>
    <w:rsid w:val="001021F8"/>
    <w:rsid w:val="00104529"/>
    <w:rsid w:val="00124B0C"/>
    <w:rsid w:val="00141F61"/>
    <w:rsid w:val="0015545F"/>
    <w:rsid w:val="001673DC"/>
    <w:rsid w:val="00175433"/>
    <w:rsid w:val="001A0761"/>
    <w:rsid w:val="001A263F"/>
    <w:rsid w:val="001A7B9E"/>
    <w:rsid w:val="001C5171"/>
    <w:rsid w:val="001C7D9E"/>
    <w:rsid w:val="001F1007"/>
    <w:rsid w:val="001F5197"/>
    <w:rsid w:val="00222FF6"/>
    <w:rsid w:val="00233BFF"/>
    <w:rsid w:val="0023427F"/>
    <w:rsid w:val="002571E6"/>
    <w:rsid w:val="00266D5D"/>
    <w:rsid w:val="002777BD"/>
    <w:rsid w:val="002B1654"/>
    <w:rsid w:val="002C46F4"/>
    <w:rsid w:val="002C667F"/>
    <w:rsid w:val="002D2568"/>
    <w:rsid w:val="00307AF4"/>
    <w:rsid w:val="00354AEE"/>
    <w:rsid w:val="003658B7"/>
    <w:rsid w:val="003659C3"/>
    <w:rsid w:val="003851F8"/>
    <w:rsid w:val="003A3E5E"/>
    <w:rsid w:val="003A6FDC"/>
    <w:rsid w:val="003C38F0"/>
    <w:rsid w:val="003C5356"/>
    <w:rsid w:val="003C7AB8"/>
    <w:rsid w:val="004050D0"/>
    <w:rsid w:val="00414445"/>
    <w:rsid w:val="00422F73"/>
    <w:rsid w:val="00434681"/>
    <w:rsid w:val="00442DF0"/>
    <w:rsid w:val="004461C3"/>
    <w:rsid w:val="00447576"/>
    <w:rsid w:val="00450041"/>
    <w:rsid w:val="004611E0"/>
    <w:rsid w:val="0046783C"/>
    <w:rsid w:val="004749F5"/>
    <w:rsid w:val="004B6874"/>
    <w:rsid w:val="004C3F2B"/>
    <w:rsid w:val="004D1F7E"/>
    <w:rsid w:val="004E0AC3"/>
    <w:rsid w:val="004F035C"/>
    <w:rsid w:val="004F7207"/>
    <w:rsid w:val="005025A6"/>
    <w:rsid w:val="00510FC7"/>
    <w:rsid w:val="0051256B"/>
    <w:rsid w:val="00515623"/>
    <w:rsid w:val="005443B8"/>
    <w:rsid w:val="00553633"/>
    <w:rsid w:val="00553D63"/>
    <w:rsid w:val="00564A50"/>
    <w:rsid w:val="005B0EF3"/>
    <w:rsid w:val="005B1827"/>
    <w:rsid w:val="005B3B42"/>
    <w:rsid w:val="005B43C6"/>
    <w:rsid w:val="005C6DBB"/>
    <w:rsid w:val="005F1B88"/>
    <w:rsid w:val="005F5909"/>
    <w:rsid w:val="005F5ABE"/>
    <w:rsid w:val="00604D47"/>
    <w:rsid w:val="00613B25"/>
    <w:rsid w:val="00613D91"/>
    <w:rsid w:val="006223BE"/>
    <w:rsid w:val="00622F85"/>
    <w:rsid w:val="0065612E"/>
    <w:rsid w:val="00662F27"/>
    <w:rsid w:val="00673DCF"/>
    <w:rsid w:val="00686476"/>
    <w:rsid w:val="00686D17"/>
    <w:rsid w:val="006871D7"/>
    <w:rsid w:val="00691BDB"/>
    <w:rsid w:val="00691D91"/>
    <w:rsid w:val="006A1CCA"/>
    <w:rsid w:val="006C00D7"/>
    <w:rsid w:val="006D1842"/>
    <w:rsid w:val="006D2E1D"/>
    <w:rsid w:val="006D64A6"/>
    <w:rsid w:val="006E27B2"/>
    <w:rsid w:val="006E2A1E"/>
    <w:rsid w:val="006F61AB"/>
    <w:rsid w:val="007130A4"/>
    <w:rsid w:val="007159F5"/>
    <w:rsid w:val="00723702"/>
    <w:rsid w:val="00723EDB"/>
    <w:rsid w:val="00797E55"/>
    <w:rsid w:val="007C588A"/>
    <w:rsid w:val="007D1899"/>
    <w:rsid w:val="007E7C0E"/>
    <w:rsid w:val="007F49A9"/>
    <w:rsid w:val="0080123E"/>
    <w:rsid w:val="00821BCF"/>
    <w:rsid w:val="008228DA"/>
    <w:rsid w:val="008306E2"/>
    <w:rsid w:val="008325AB"/>
    <w:rsid w:val="008351A8"/>
    <w:rsid w:val="00843B27"/>
    <w:rsid w:val="008527AA"/>
    <w:rsid w:val="008641AC"/>
    <w:rsid w:val="008647D3"/>
    <w:rsid w:val="0087035E"/>
    <w:rsid w:val="008B3157"/>
    <w:rsid w:val="008C4C09"/>
    <w:rsid w:val="008E34C4"/>
    <w:rsid w:val="008E6F9C"/>
    <w:rsid w:val="008F5A57"/>
    <w:rsid w:val="0090107E"/>
    <w:rsid w:val="00901593"/>
    <w:rsid w:val="00904E3D"/>
    <w:rsid w:val="00912B74"/>
    <w:rsid w:val="009263DA"/>
    <w:rsid w:val="009453AB"/>
    <w:rsid w:val="00971F3E"/>
    <w:rsid w:val="00992364"/>
    <w:rsid w:val="00993D14"/>
    <w:rsid w:val="0099711F"/>
    <w:rsid w:val="009C6152"/>
    <w:rsid w:val="009C64D0"/>
    <w:rsid w:val="009E4DFD"/>
    <w:rsid w:val="009E6088"/>
    <w:rsid w:val="00A13B08"/>
    <w:rsid w:val="00A6564D"/>
    <w:rsid w:val="00A67B16"/>
    <w:rsid w:val="00A71531"/>
    <w:rsid w:val="00A717F3"/>
    <w:rsid w:val="00A826F7"/>
    <w:rsid w:val="00A85F5C"/>
    <w:rsid w:val="00A86046"/>
    <w:rsid w:val="00AA40F9"/>
    <w:rsid w:val="00AD165B"/>
    <w:rsid w:val="00AD1B6B"/>
    <w:rsid w:val="00AD59EA"/>
    <w:rsid w:val="00AE1696"/>
    <w:rsid w:val="00AE3014"/>
    <w:rsid w:val="00AF6877"/>
    <w:rsid w:val="00B01C24"/>
    <w:rsid w:val="00B22A56"/>
    <w:rsid w:val="00B239B7"/>
    <w:rsid w:val="00B31A64"/>
    <w:rsid w:val="00B33983"/>
    <w:rsid w:val="00B54156"/>
    <w:rsid w:val="00B57D03"/>
    <w:rsid w:val="00B75E0A"/>
    <w:rsid w:val="00B76C19"/>
    <w:rsid w:val="00B81991"/>
    <w:rsid w:val="00B96A89"/>
    <w:rsid w:val="00B97872"/>
    <w:rsid w:val="00BA61D5"/>
    <w:rsid w:val="00BB1867"/>
    <w:rsid w:val="00BB2369"/>
    <w:rsid w:val="00BB7131"/>
    <w:rsid w:val="00BC3DD8"/>
    <w:rsid w:val="00BD2AE3"/>
    <w:rsid w:val="00BE12D5"/>
    <w:rsid w:val="00BF761E"/>
    <w:rsid w:val="00C2621F"/>
    <w:rsid w:val="00C60904"/>
    <w:rsid w:val="00C94399"/>
    <w:rsid w:val="00CC0F9C"/>
    <w:rsid w:val="00CD55C7"/>
    <w:rsid w:val="00CD67BF"/>
    <w:rsid w:val="00CE3B8F"/>
    <w:rsid w:val="00CE428E"/>
    <w:rsid w:val="00CE432E"/>
    <w:rsid w:val="00CE5C79"/>
    <w:rsid w:val="00D00158"/>
    <w:rsid w:val="00D0164D"/>
    <w:rsid w:val="00D10453"/>
    <w:rsid w:val="00D41DD6"/>
    <w:rsid w:val="00D44E14"/>
    <w:rsid w:val="00D6144E"/>
    <w:rsid w:val="00D63F73"/>
    <w:rsid w:val="00D671DC"/>
    <w:rsid w:val="00D74765"/>
    <w:rsid w:val="00D8118E"/>
    <w:rsid w:val="00D850C7"/>
    <w:rsid w:val="00D96324"/>
    <w:rsid w:val="00DB45F4"/>
    <w:rsid w:val="00DB500D"/>
    <w:rsid w:val="00DC1AE7"/>
    <w:rsid w:val="00DD3F5E"/>
    <w:rsid w:val="00DD4990"/>
    <w:rsid w:val="00DE2769"/>
    <w:rsid w:val="00DF525C"/>
    <w:rsid w:val="00E103BE"/>
    <w:rsid w:val="00E34F41"/>
    <w:rsid w:val="00E367A7"/>
    <w:rsid w:val="00E55A36"/>
    <w:rsid w:val="00E8776B"/>
    <w:rsid w:val="00E911D0"/>
    <w:rsid w:val="00E949E7"/>
    <w:rsid w:val="00EA6ABC"/>
    <w:rsid w:val="00EA757D"/>
    <w:rsid w:val="00EB3558"/>
    <w:rsid w:val="00ED089E"/>
    <w:rsid w:val="00ED54AC"/>
    <w:rsid w:val="00F14853"/>
    <w:rsid w:val="00F22453"/>
    <w:rsid w:val="00F50594"/>
    <w:rsid w:val="00F6222F"/>
    <w:rsid w:val="00F62776"/>
    <w:rsid w:val="00F76DD4"/>
    <w:rsid w:val="00F8329B"/>
    <w:rsid w:val="00F90D5E"/>
    <w:rsid w:val="00FB075F"/>
    <w:rsid w:val="00FB51A0"/>
    <w:rsid w:val="00FB70F8"/>
    <w:rsid w:val="00FB7152"/>
    <w:rsid w:val="00FC2644"/>
    <w:rsid w:val="00FC33BD"/>
    <w:rsid w:val="00FC7081"/>
    <w:rsid w:val="00FD7107"/>
    <w:rsid w:val="00FE4B0A"/>
    <w:rsid w:val="00FF052F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>
      <o:colormenu v:ext="edit" fillcolor="none [1942]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01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Char">
    <w:name w:val="标题 2 Char"/>
    <w:basedOn w:val="a0"/>
    <w:link w:val="2"/>
    <w:rsid w:val="00D016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qFormat/>
    <w:rsid w:val="00691BDB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564A50"/>
    <w:pPr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564A50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106</cp:revision>
  <dcterms:created xsi:type="dcterms:W3CDTF">2015-06-17T12:51:00Z</dcterms:created>
  <dcterms:modified xsi:type="dcterms:W3CDTF">2022-04-28T03:22:00Z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