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佛山市裕达利金属制品有限公司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bookmarkStart w:id="12" w:name="_GoBack"/>
            <w:bookmarkEnd w:id="12"/>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0363-2022-Q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2022.4.21上午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2022.4.21上午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2022.4.21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D829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525</Words>
  <Characters>669</Characters>
  <Lines>5</Lines>
  <Paragraphs>1</Paragraphs>
  <TotalTime>0</TotalTime>
  <ScaleCrop>false</ScaleCrop>
  <LinksUpToDate>false</LinksUpToDate>
  <CharactersWithSpaces>694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2022-04-19T08:26:35Z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2052-11.1.0.11636</vt:lpwstr>
  </property>
  <property fmtid="{D5CDD505-2E9C-101B-9397-08002B2CF9AE}" pid="4" name="commondata">
    <vt:lpwstr>eyJoZGlkIjoiMDc4ZWJiZGY2YjU2MmRhNjg4NDA1NWJhMzhhZTVmYzcifQ==</vt:lpwstr>
  </property>
</Properties>
</file>