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ascii="楷体" w:hAnsi="楷体" w:eastAsia="楷体"/>
          <w:bCs/>
          <w:color w:val="000000"/>
          <w:sz w:val="24"/>
          <w:szCs w:val="24"/>
        </w:rPr>
      </w:pPr>
    </w:p>
    <w:p>
      <w:pPr>
        <w:spacing w:line="480" w:lineRule="exact"/>
        <w:jc w:val="center"/>
        <w:rPr>
          <w:rFonts w:ascii="楷体" w:hAnsi="楷体" w:eastAsia="楷体"/>
          <w:sz w:val="44"/>
          <w:szCs w:val="44"/>
        </w:rPr>
      </w:pPr>
      <w:r>
        <w:rPr>
          <w:rFonts w:hint="eastAsia" w:ascii="楷体" w:hAnsi="楷体" w:eastAsia="楷体"/>
          <w:bCs/>
          <w:color w:val="000000"/>
          <w:sz w:val="44"/>
          <w:szCs w:val="44"/>
        </w:rPr>
        <w:t>管理体系审核记录表</w:t>
      </w: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164"/>
        <w:gridCol w:w="11012"/>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6" w:type="dxa"/>
            <w:vMerge w:val="restart"/>
            <w:vAlign w:val="center"/>
          </w:tcPr>
          <w:p>
            <w:pPr>
              <w:spacing w:before="120"/>
              <w:jc w:val="center"/>
              <w:rPr>
                <w:rFonts w:hint="eastAsia" w:ascii="宋体" w:hAnsi="宋体" w:eastAsia="宋体" w:cs="宋体"/>
                <w:color w:val="auto"/>
                <w:sz w:val="21"/>
                <w:szCs w:val="21"/>
              </w:rPr>
            </w:pPr>
            <w:r>
              <w:rPr>
                <w:rFonts w:hint="eastAsia" w:ascii="宋体" w:hAnsi="宋体" w:eastAsia="宋体" w:cs="宋体"/>
                <w:color w:val="auto"/>
                <w:sz w:val="21"/>
                <w:szCs w:val="21"/>
              </w:rPr>
              <w:t>过程与活动、</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抽样计划</w:t>
            </w:r>
          </w:p>
        </w:tc>
        <w:tc>
          <w:tcPr>
            <w:tcW w:w="1164" w:type="dxa"/>
            <w:vMerge w:val="restart"/>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涉及</w:t>
            </w:r>
          </w:p>
          <w:p>
            <w:pPr>
              <w:rPr>
                <w:rFonts w:hint="eastAsia" w:ascii="宋体" w:hAnsi="宋体" w:eastAsia="宋体" w:cs="宋体"/>
                <w:color w:val="auto"/>
                <w:sz w:val="21"/>
                <w:szCs w:val="21"/>
              </w:rPr>
            </w:pPr>
            <w:r>
              <w:rPr>
                <w:rFonts w:hint="eastAsia" w:ascii="宋体" w:hAnsi="宋体" w:eastAsia="宋体" w:cs="宋体"/>
                <w:color w:val="auto"/>
                <w:sz w:val="21"/>
                <w:szCs w:val="21"/>
              </w:rPr>
              <w:t>条款</w:t>
            </w:r>
          </w:p>
        </w:tc>
        <w:tc>
          <w:tcPr>
            <w:tcW w:w="11012" w:type="dxa"/>
            <w:vAlign w:val="center"/>
          </w:tcPr>
          <w:p>
            <w:pPr>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受审核部门：</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 xml:space="preserve">       主管领导：</w:t>
            </w:r>
            <w:r>
              <w:rPr>
                <w:rFonts w:hint="eastAsia" w:ascii="宋体" w:hAnsi="宋体" w:cs="宋体"/>
                <w:bCs/>
                <w:color w:val="auto"/>
                <w:sz w:val="21"/>
                <w:szCs w:val="21"/>
                <w:lang w:eastAsia="zh-CN"/>
              </w:rPr>
              <w:t>闫欣欣</w:t>
            </w:r>
            <w:r>
              <w:rPr>
                <w:rFonts w:hint="eastAsia" w:ascii="宋体" w:hAnsi="宋体" w:eastAsia="宋体" w:cs="宋体"/>
                <w:color w:val="auto"/>
                <w:sz w:val="21"/>
                <w:szCs w:val="21"/>
              </w:rPr>
              <w:t xml:space="preserve">      陪同人员：</w:t>
            </w:r>
            <w:r>
              <w:rPr>
                <w:rFonts w:hint="eastAsia" w:ascii="宋体" w:hAnsi="宋体" w:eastAsia="宋体" w:cs="宋体"/>
                <w:color w:val="auto"/>
                <w:sz w:val="21"/>
                <w:szCs w:val="21"/>
                <w:lang w:val="en-US" w:eastAsia="zh-CN"/>
              </w:rPr>
              <w:t>王</w:t>
            </w:r>
            <w:r>
              <w:rPr>
                <w:rFonts w:hint="eastAsia" w:ascii="宋体" w:hAnsi="宋体" w:cs="宋体"/>
                <w:color w:val="auto"/>
                <w:sz w:val="21"/>
                <w:szCs w:val="21"/>
                <w:lang w:val="en-US" w:eastAsia="zh-CN"/>
              </w:rPr>
              <w:t>强</w:t>
            </w:r>
          </w:p>
        </w:tc>
        <w:tc>
          <w:tcPr>
            <w:tcW w:w="577" w:type="dxa"/>
            <w:vMerge w:val="restart"/>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6" w:type="dxa"/>
            <w:vMerge w:val="continue"/>
            <w:vAlign w:val="center"/>
          </w:tcPr>
          <w:p>
            <w:pPr>
              <w:rPr>
                <w:rFonts w:hint="eastAsia" w:ascii="宋体" w:hAnsi="宋体" w:eastAsia="宋体" w:cs="宋体"/>
                <w:color w:val="FF0000"/>
                <w:sz w:val="21"/>
                <w:szCs w:val="21"/>
              </w:rPr>
            </w:pPr>
          </w:p>
        </w:tc>
        <w:tc>
          <w:tcPr>
            <w:tcW w:w="1164" w:type="dxa"/>
            <w:vMerge w:val="continue"/>
            <w:vAlign w:val="center"/>
          </w:tcPr>
          <w:p>
            <w:pPr>
              <w:rPr>
                <w:rFonts w:hint="eastAsia" w:ascii="宋体" w:hAnsi="宋体" w:eastAsia="宋体" w:cs="宋体"/>
                <w:color w:val="FF0000"/>
                <w:sz w:val="21"/>
                <w:szCs w:val="21"/>
              </w:rPr>
            </w:pPr>
          </w:p>
        </w:tc>
        <w:tc>
          <w:tcPr>
            <w:tcW w:w="11012" w:type="dxa"/>
            <w:vAlign w:val="center"/>
          </w:tcPr>
          <w:p>
            <w:pPr>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审核员：</w:t>
            </w:r>
            <w:r>
              <w:rPr>
                <w:rFonts w:hint="eastAsia" w:ascii="宋体" w:hAnsi="宋体" w:eastAsia="宋体" w:cs="宋体"/>
                <w:color w:val="auto"/>
                <w:sz w:val="21"/>
                <w:szCs w:val="21"/>
                <w:lang w:val="en-US" w:eastAsia="zh-CN"/>
              </w:rPr>
              <w:t>李凤仪</w:t>
            </w:r>
            <w:r>
              <w:rPr>
                <w:rFonts w:hint="eastAsia" w:ascii="宋体" w:hAnsi="宋体" w:eastAsia="宋体" w:cs="宋体"/>
                <w:color w:val="auto"/>
                <w:sz w:val="21"/>
                <w:szCs w:val="21"/>
              </w:rPr>
              <w:t xml:space="preserve">            审核时间：202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日</w:t>
            </w:r>
          </w:p>
        </w:tc>
        <w:tc>
          <w:tcPr>
            <w:tcW w:w="577" w:type="dxa"/>
            <w:vMerge w:val="continue"/>
          </w:tcPr>
          <w:p>
            <w:pP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Merge w:val="continue"/>
            <w:vAlign w:val="center"/>
          </w:tcPr>
          <w:p>
            <w:pPr>
              <w:rPr>
                <w:rFonts w:hint="eastAsia" w:ascii="宋体" w:hAnsi="宋体" w:eastAsia="宋体" w:cs="宋体"/>
                <w:color w:val="FF0000"/>
                <w:sz w:val="21"/>
                <w:szCs w:val="21"/>
              </w:rPr>
            </w:pPr>
          </w:p>
        </w:tc>
        <w:tc>
          <w:tcPr>
            <w:tcW w:w="1164" w:type="dxa"/>
            <w:vMerge w:val="continue"/>
            <w:vAlign w:val="center"/>
          </w:tcPr>
          <w:p>
            <w:pPr>
              <w:rPr>
                <w:rFonts w:hint="eastAsia" w:ascii="宋体" w:hAnsi="宋体" w:eastAsia="宋体" w:cs="宋体"/>
                <w:color w:val="FF0000"/>
                <w:sz w:val="21"/>
                <w:szCs w:val="21"/>
              </w:rPr>
            </w:pPr>
          </w:p>
        </w:tc>
        <w:tc>
          <w:tcPr>
            <w:tcW w:w="11012" w:type="dxa"/>
            <w:vAlign w:val="center"/>
          </w:tcPr>
          <w:p>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审核条款：</w:t>
            </w:r>
          </w:p>
          <w:p>
            <w:pPr>
              <w:adjustRightInd w:val="0"/>
              <w:snapToGrid w:val="0"/>
              <w:ind w:right="105" w:rightChars="5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Q</w:t>
            </w:r>
            <w:r>
              <w:rPr>
                <w:rFonts w:hint="eastAsia" w:ascii="宋体" w:hAnsi="宋体" w:eastAsia="宋体" w:cs="宋体"/>
                <w:color w:val="auto"/>
                <w:sz w:val="21"/>
                <w:szCs w:val="21"/>
              </w:rPr>
              <w:t>MS: 5.3组织的岗位、职责和权限、6.2质量目标</w:t>
            </w:r>
            <w:r>
              <w:rPr>
                <w:rFonts w:hint="eastAsia" w:ascii="宋体" w:hAnsi="宋体" w:eastAsia="宋体" w:cs="宋体"/>
                <w:color w:val="auto"/>
                <w:spacing w:val="-6"/>
                <w:sz w:val="21"/>
                <w:szCs w:val="21"/>
              </w:rPr>
              <w:t>、9.1.1监视、测量、分析和评价总则</w:t>
            </w:r>
            <w:r>
              <w:rPr>
                <w:rFonts w:hint="eastAsia" w:ascii="宋体" w:hAnsi="宋体" w:eastAsia="宋体" w:cs="宋体"/>
                <w:color w:val="auto"/>
                <w:sz w:val="21"/>
                <w:szCs w:val="21"/>
              </w:rPr>
              <w:t>、9.1.3分析与评价、9.2 内部审核、10.2不合格和纠正措施</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 </w:t>
            </w:r>
          </w:p>
          <w:p>
            <w:pPr>
              <w:adjustRightInd w:val="0"/>
              <w:snapToGrid w:val="0"/>
              <w:ind w:right="105" w:rightChars="50"/>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EOHMS: 5.3组织的岗位、职责和权限、6.2.1环境/职业健康安全目标、6.2.2实现环境/职业健康安全目标措施的策划、、9.2 内部审核、10.2不符合/事件和纠正措施</w:t>
            </w:r>
            <w:r>
              <w:rPr>
                <w:rFonts w:hint="eastAsia" w:ascii="宋体" w:hAnsi="宋体" w:eastAsia="宋体" w:cs="宋体"/>
                <w:color w:val="auto"/>
                <w:sz w:val="21"/>
                <w:szCs w:val="21"/>
                <w:lang w:val="en-US" w:eastAsia="zh-CN"/>
              </w:rPr>
              <w:t>.</w:t>
            </w:r>
          </w:p>
          <w:p>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EOHMS:6.1.2环境因素/危险源的辨识与评价、6.1.3合规义务、6.1.4措施的策划、8.1运行策划和控制、9.1监视、测量、分析和评价（9.1.1总则、9.1.2合规性评价）、8.2应急准备和响应</w:t>
            </w:r>
            <w:r>
              <w:rPr>
                <w:rFonts w:hint="eastAsia" w:ascii="宋体" w:hAnsi="宋体" w:eastAsia="宋体" w:cs="宋体"/>
                <w:color w:val="auto"/>
                <w:sz w:val="21"/>
                <w:szCs w:val="21"/>
                <w:lang w:val="en-US" w:eastAsia="zh-CN"/>
              </w:rPr>
              <w:t>.</w:t>
            </w:r>
          </w:p>
        </w:tc>
        <w:tc>
          <w:tcPr>
            <w:tcW w:w="577" w:type="dxa"/>
            <w:vMerge w:val="continue"/>
          </w:tcPr>
          <w:p>
            <w:pP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组织的岗位、职责和权限</w:t>
            </w:r>
          </w:p>
        </w:tc>
        <w:tc>
          <w:tcPr>
            <w:tcW w:w="1164" w:type="dxa"/>
          </w:tcPr>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pStyle w:val="3"/>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QEO：5.3</w:t>
            </w:r>
          </w:p>
        </w:tc>
        <w:tc>
          <w:tcPr>
            <w:tcW w:w="11012" w:type="dxa"/>
            <w:vAlign w:val="center"/>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部门负责人：</w:t>
            </w:r>
            <w:r>
              <w:rPr>
                <w:rFonts w:hint="eastAsia" w:ascii="宋体" w:hAnsi="宋体" w:cs="宋体"/>
                <w:bCs/>
                <w:color w:val="auto"/>
                <w:sz w:val="21"/>
                <w:szCs w:val="21"/>
                <w:lang w:eastAsia="zh-CN"/>
              </w:rPr>
              <w:t>闫欣欣</w:t>
            </w:r>
            <w:r>
              <w:rPr>
                <w:rFonts w:hint="eastAsia" w:ascii="宋体" w:hAnsi="宋体" w:eastAsia="宋体" w:cs="宋体"/>
                <w:color w:val="auto"/>
                <w:sz w:val="21"/>
                <w:szCs w:val="21"/>
              </w:rPr>
              <w:t xml:space="preserve"> </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询问主要职责：</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a. 贯彻落实GB/T19001-2015标准、GB/T24001-2015标准、GB/T45001-2020标准，作好质量、环境、职业安全健康管理体系的具体策划和组织管理工作；负责组织质量、环境和职业健康安全管理体系的内部审核；组织检查质量、环境、职业安全健康管理体系过程的运行情况。</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b.文件发放、回收的管理；</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c.负责人员的选择，并根据各部门的需求进行安排，编制相应的岗位工作入职要求；</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d.组织对各类人员进行有针对性的培训、考核及评价工作，不断提高质量、环境、职业安全健康意识素质和技能；</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e.负责法律、法规及其他要求的获取及识别其适用性，并负责法律、法规及其他要求的发放；</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f.负责组织公司环境因素、危险源的识别和评价，并确定重要环境因素、危险源，报管理者代表审批。</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g.负责监督检查工作场所的工作环境情况；</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h.负责公司范围内的应急准备和相应计划的制定及可行性的应急演练。</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j.负责监督检查公司各职能部门有关层次上的管理目标的分解、实施及管理方案的制定、检查与实施。</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k.负责收集、整理和保管本部门的质量记录以及相关数据收集、传递和交流；</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l.负责对环境、安全健康方面的不符合进行纠正和预防措施的跟踪、验证工作；</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部门职责清晰、明确。</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负责人能基本阐述本部门的主要职责。</w:t>
            </w:r>
          </w:p>
        </w:tc>
        <w:tc>
          <w:tcPr>
            <w:tcW w:w="577" w:type="dxa"/>
          </w:tcPr>
          <w:p>
            <w:pP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6" w:type="dxa"/>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目标、指标管理方案</w:t>
            </w:r>
          </w:p>
          <w:p>
            <w:pPr>
              <w:rPr>
                <w:rFonts w:hint="eastAsia" w:ascii="宋体" w:hAnsi="宋体" w:eastAsia="宋体" w:cs="宋体"/>
                <w:color w:val="auto"/>
                <w:sz w:val="21"/>
                <w:szCs w:val="21"/>
              </w:rPr>
            </w:pPr>
          </w:p>
        </w:tc>
        <w:tc>
          <w:tcPr>
            <w:tcW w:w="1164" w:type="dxa"/>
          </w:tcPr>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QEO：6.2</w:t>
            </w:r>
          </w:p>
        </w:tc>
        <w:tc>
          <w:tcPr>
            <w:tcW w:w="11012" w:type="dxa"/>
          </w:tcPr>
          <w:p>
            <w:pPr>
              <w:autoSpaceDE w:val="0"/>
              <w:autoSpaceDN w:val="0"/>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公司编制了《目标指标及管理方案管理程序》，</w:t>
            </w:r>
          </w:p>
          <w:p>
            <w:pPr>
              <w:autoSpaceDE w:val="0"/>
              <w:autoSpaceDN w:val="0"/>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公司有将质量、环境、职业健康安全目标分解到各个部门，</w:t>
            </w:r>
          </w:p>
          <w:p>
            <w:pPr>
              <w:autoSpaceDE w:val="0"/>
              <w:autoSpaceDN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的目标：</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教育培训有效率</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文件受控率</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采购的产品合格率</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顾客满意度</w:t>
            </w:r>
          </w:p>
          <w:p>
            <w:pPr>
              <w:numPr>
                <w:ilvl w:val="0"/>
                <w:numId w:val="0"/>
              </w:numPr>
              <w:spacing w:line="360" w:lineRule="exact"/>
              <w:ind w:leftChars="0"/>
              <w:rPr>
                <w:rFonts w:hint="eastAsia" w:ascii="宋体" w:hAnsi="宋体" w:eastAsia="宋体" w:cs="宋体"/>
                <w:color w:val="auto"/>
                <w:sz w:val="21"/>
                <w:szCs w:val="21"/>
              </w:rPr>
            </w:pPr>
            <w:r>
              <w:rPr>
                <w:rFonts w:hint="eastAsia" w:ascii="宋体" w:hAnsi="宋体" w:eastAsia="宋体" w:cs="宋体"/>
                <w:color w:val="auto"/>
                <w:sz w:val="21"/>
                <w:szCs w:val="21"/>
              </w:rPr>
              <w:t>固废分类回收率</w:t>
            </w:r>
          </w:p>
          <w:p>
            <w:pPr>
              <w:numPr>
                <w:ilvl w:val="0"/>
                <w:numId w:val="0"/>
              </w:numPr>
              <w:spacing w:line="360" w:lineRule="exact"/>
              <w:ind w:leftChars="0"/>
              <w:rPr>
                <w:rFonts w:hint="eastAsia" w:ascii="宋体" w:hAnsi="宋体" w:eastAsia="宋体" w:cs="宋体"/>
                <w:color w:val="auto"/>
                <w:sz w:val="21"/>
                <w:szCs w:val="21"/>
              </w:rPr>
            </w:pPr>
            <w:r>
              <w:rPr>
                <w:rFonts w:hint="eastAsia" w:ascii="宋体" w:hAnsi="宋体" w:eastAsia="宋体" w:cs="宋体"/>
                <w:color w:val="auto"/>
                <w:sz w:val="21"/>
                <w:szCs w:val="21"/>
              </w:rPr>
              <w:t>火灾事故为零</w:t>
            </w:r>
          </w:p>
          <w:p>
            <w:pPr>
              <w:tabs>
                <w:tab w:val="center" w:pos="3169"/>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查</w:t>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日检查能达标。</w:t>
            </w:r>
          </w:p>
          <w:p>
            <w:pPr>
              <w:tabs>
                <w:tab w:val="center" w:pos="3169"/>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提供</w:t>
            </w:r>
            <w:r>
              <w:rPr>
                <w:rFonts w:hint="eastAsia" w:ascii="宋体" w:hAnsi="宋体" w:eastAsia="宋体" w:cs="宋体"/>
                <w:b/>
                <w:i w:val="0"/>
                <w:color w:val="auto"/>
                <w:kern w:val="0"/>
                <w:sz w:val="21"/>
                <w:szCs w:val="21"/>
                <w:u w:val="none"/>
                <w:lang w:val="en-US" w:eastAsia="zh-CN" w:bidi="ar"/>
              </w:rPr>
              <w:t xml:space="preserve"> 质量运行目标统计表</w:t>
            </w:r>
            <w:r>
              <w:rPr>
                <w:rFonts w:hint="eastAsia" w:ascii="宋体" w:hAnsi="宋体" w:eastAsia="宋体" w:cs="宋体"/>
                <w:color w:val="auto"/>
                <w:sz w:val="21"/>
                <w:szCs w:val="21"/>
              </w:rPr>
              <w:t>“环境、职业健康目标管理方案”，</w:t>
            </w:r>
          </w:p>
          <w:p>
            <w:pPr>
              <w:pStyle w:val="4"/>
              <w:rPr>
                <w:rFonts w:hint="eastAsia" w:ascii="宋体" w:hAnsi="宋体" w:eastAsia="宋体" w:cs="宋体"/>
                <w:color w:val="auto"/>
                <w:sz w:val="21"/>
                <w:szCs w:val="21"/>
              </w:rPr>
            </w:pPr>
          </w:p>
          <w:p>
            <w:pPr>
              <w:jc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color w:val="auto"/>
                <w:sz w:val="21"/>
                <w:szCs w:val="21"/>
                <w:lang w:val="en-US" w:eastAsia="zh-CN" w:bidi="ar"/>
              </w:rPr>
              <w:t xml:space="preserve"> </w:t>
            </w:r>
            <w:r>
              <w:rPr>
                <w:rFonts w:hint="eastAsia" w:ascii="宋体" w:hAnsi="宋体" w:cs="宋体"/>
                <w:b/>
                <w:bCs w:val="0"/>
                <w:color w:val="auto"/>
                <w:sz w:val="21"/>
                <w:szCs w:val="21"/>
                <w:u w:val="none"/>
                <w:lang w:eastAsia="zh-CN"/>
              </w:rPr>
              <w:t>辽宁省玖泰控股集团有限公司</w:t>
            </w:r>
          </w:p>
          <w:p>
            <w:pPr>
              <w:jc w:val="center"/>
              <w:rPr>
                <w:rFonts w:hint="eastAsia" w:ascii="宋体" w:hAnsi="宋体" w:eastAsia="宋体" w:cs="宋体"/>
                <w:color w:val="auto"/>
                <w:sz w:val="21"/>
                <w:szCs w:val="21"/>
              </w:rPr>
            </w:pPr>
            <w:r>
              <w:rPr>
                <w:rFonts w:hint="eastAsia" w:ascii="宋体" w:hAnsi="宋体" w:eastAsia="宋体" w:cs="宋体"/>
                <w:b/>
                <w:i w:val="0"/>
                <w:color w:val="auto"/>
                <w:kern w:val="0"/>
                <w:sz w:val="21"/>
                <w:szCs w:val="21"/>
                <w:u w:val="none"/>
                <w:lang w:val="en-US" w:eastAsia="zh-CN" w:bidi="ar"/>
              </w:rPr>
              <w:t xml:space="preserve">                                  质量运行目标统计表                         </w:t>
            </w:r>
            <w:r>
              <w:rPr>
                <w:rStyle w:val="27"/>
                <w:rFonts w:hint="eastAsia" w:ascii="宋体" w:hAnsi="宋体" w:eastAsia="宋体" w:cs="宋体"/>
                <w:color w:val="auto"/>
                <w:sz w:val="21"/>
                <w:szCs w:val="21"/>
                <w:lang w:val="en-US" w:eastAsia="zh-CN" w:bidi="ar"/>
              </w:rPr>
              <w:t>编号：</w:t>
            </w:r>
            <w:r>
              <w:rPr>
                <w:rStyle w:val="27"/>
                <w:rFonts w:hint="eastAsia" w:ascii="宋体" w:hAnsi="宋体" w:cs="宋体"/>
                <w:color w:val="auto"/>
                <w:sz w:val="21"/>
                <w:szCs w:val="21"/>
                <w:lang w:val="en-US" w:eastAsia="zh-CN" w:bidi="ar"/>
              </w:rPr>
              <w:t>JT</w:t>
            </w:r>
            <w:r>
              <w:rPr>
                <w:rStyle w:val="27"/>
                <w:rFonts w:hint="eastAsia" w:ascii="宋体" w:hAnsi="宋体" w:eastAsia="宋体" w:cs="宋体"/>
                <w:color w:val="auto"/>
                <w:sz w:val="21"/>
                <w:szCs w:val="21"/>
                <w:lang w:val="en-US" w:eastAsia="zh-CN" w:bidi="ar"/>
              </w:rPr>
              <w:t>-QES-P-02-002</w:t>
            </w:r>
          </w:p>
          <w:tbl>
            <w:tblPr>
              <w:tblStyle w:val="14"/>
              <w:tblW w:w="15968" w:type="dxa"/>
              <w:tblInd w:w="-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61"/>
              <w:gridCol w:w="1002"/>
              <w:gridCol w:w="1669"/>
              <w:gridCol w:w="1229"/>
              <w:gridCol w:w="3123"/>
              <w:gridCol w:w="1036"/>
              <w:gridCol w:w="955"/>
              <w:gridCol w:w="477"/>
              <w:gridCol w:w="587"/>
              <w:gridCol w:w="790"/>
              <w:gridCol w:w="628"/>
              <w:gridCol w:w="750"/>
              <w:gridCol w:w="518"/>
              <w:gridCol w:w="641"/>
              <w:gridCol w:w="518"/>
              <w:gridCol w:w="586"/>
              <w:gridCol w:w="764"/>
              <w:gridCol w:w="331"/>
              <w:gridCol w:w="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 w:type="dxa"/>
                <w:trHeight w:val="1008" w:hRule="atLeast"/>
              </w:trPr>
              <w:tc>
                <w:tcPr>
                  <w:tcW w:w="3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序号</w:t>
                  </w:r>
                </w:p>
              </w:tc>
              <w:tc>
                <w:tcPr>
                  <w:tcW w:w="267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目标类别</w:t>
                  </w:r>
                </w:p>
              </w:tc>
              <w:tc>
                <w:tcPr>
                  <w:tcW w:w="12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质量目标</w:t>
                  </w:r>
                </w:p>
              </w:tc>
              <w:tc>
                <w:tcPr>
                  <w:tcW w:w="3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统计公式</w:t>
                  </w:r>
                </w:p>
              </w:tc>
              <w:tc>
                <w:tcPr>
                  <w:tcW w:w="199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统计周期</w:t>
                  </w:r>
                </w:p>
              </w:tc>
              <w:tc>
                <w:tcPr>
                  <w:tcW w:w="659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36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p>
              </w:tc>
              <w:tc>
                <w:tcPr>
                  <w:tcW w:w="2671"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p>
              </w:tc>
              <w:tc>
                <w:tcPr>
                  <w:tcW w:w="122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p>
              </w:tc>
              <w:tc>
                <w:tcPr>
                  <w:tcW w:w="31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p>
              </w:tc>
              <w:tc>
                <w:tcPr>
                  <w:tcW w:w="1991"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p>
              </w:tc>
              <w:tc>
                <w:tcPr>
                  <w:tcW w:w="477"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12月</w:t>
                  </w:r>
                </w:p>
              </w:tc>
              <w:tc>
                <w:tcPr>
                  <w:tcW w:w="587"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1月</w:t>
                  </w:r>
                </w:p>
              </w:tc>
              <w:tc>
                <w:tcPr>
                  <w:tcW w:w="790"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2月</w:t>
                  </w:r>
                </w:p>
              </w:tc>
              <w:tc>
                <w:tcPr>
                  <w:tcW w:w="628"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3月</w:t>
                  </w:r>
                </w:p>
              </w:tc>
              <w:tc>
                <w:tcPr>
                  <w:tcW w:w="750"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4月</w:t>
                  </w:r>
                </w:p>
              </w:tc>
              <w:tc>
                <w:tcPr>
                  <w:tcW w:w="518"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5月</w:t>
                  </w:r>
                </w:p>
              </w:tc>
              <w:tc>
                <w:tcPr>
                  <w:tcW w:w="641"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6月</w:t>
                  </w:r>
                </w:p>
              </w:tc>
              <w:tc>
                <w:tcPr>
                  <w:tcW w:w="1104"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7月</w:t>
                  </w:r>
                </w:p>
              </w:tc>
              <w:tc>
                <w:tcPr>
                  <w:tcW w:w="1098" w:type="dxa"/>
                  <w:gridSpan w:val="3"/>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92" w:hRule="atLeast"/>
              </w:trPr>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总目标</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顾客满意度</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≥90分</w:t>
                  </w:r>
                </w:p>
              </w:tc>
              <w:tc>
                <w:tcPr>
                  <w:tcW w:w="31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（满意的客户分数/调查的客户总数）×100%</w:t>
                  </w:r>
                </w:p>
              </w:tc>
              <w:tc>
                <w:tcPr>
                  <w:tcW w:w="19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每年</w:t>
                  </w:r>
                </w:p>
              </w:tc>
              <w:tc>
                <w:tcPr>
                  <w:tcW w:w="659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97分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30" w:hRule="atLeast"/>
              </w:trPr>
              <w:tc>
                <w:tcPr>
                  <w:tcW w:w="3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2</w:t>
                  </w:r>
                </w:p>
              </w:tc>
              <w:tc>
                <w:tcPr>
                  <w:tcW w:w="10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项目部</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服务项目完成率</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≥96%</w:t>
                  </w:r>
                </w:p>
              </w:tc>
              <w:tc>
                <w:tcPr>
                  <w:tcW w:w="31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（合格的产品批数/总发货批数)×100%</w:t>
                  </w:r>
                </w:p>
              </w:tc>
              <w:tc>
                <w:tcPr>
                  <w:tcW w:w="19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每月</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587"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79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62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51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64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110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1098"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 w:type="dxa"/>
                <w:trHeight w:val="1123" w:hRule="atLeast"/>
              </w:trPr>
              <w:tc>
                <w:tcPr>
                  <w:tcW w:w="3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p>
              </w:tc>
              <w:tc>
                <w:tcPr>
                  <w:tcW w:w="10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顾客满意度</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≥90分</w:t>
                  </w:r>
                </w:p>
              </w:tc>
              <w:tc>
                <w:tcPr>
                  <w:tcW w:w="31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（满意的客户分数/调查的客户总数）×100%</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每年</w:t>
                  </w:r>
                </w:p>
              </w:tc>
              <w:tc>
                <w:tcPr>
                  <w:tcW w:w="754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97分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 w:type="dxa"/>
                <w:trHeight w:val="1481" w:hRule="atLeast"/>
              </w:trPr>
              <w:tc>
                <w:tcPr>
                  <w:tcW w:w="361"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3</w:t>
                  </w:r>
                </w:p>
                <w:p>
                  <w:pPr>
                    <w:jc w:val="center"/>
                    <w:rPr>
                      <w:rFonts w:hint="eastAsia" w:ascii="宋体" w:hAnsi="宋体" w:eastAsia="宋体" w:cs="宋体"/>
                      <w:b/>
                      <w:i w:val="0"/>
                      <w:color w:val="auto"/>
                      <w:kern w:val="0"/>
                      <w:sz w:val="21"/>
                      <w:szCs w:val="21"/>
                      <w:u w:val="none"/>
                      <w:lang w:val="en-US" w:eastAsia="zh-CN" w:bidi="ar"/>
                    </w:rPr>
                  </w:pPr>
                </w:p>
              </w:tc>
              <w:tc>
                <w:tcPr>
                  <w:tcW w:w="1002"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行政部</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教育培训有效率</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31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培训合格次数/培训总次数量×100%</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每月</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587"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141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115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51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586"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764"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33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 w:type="dxa"/>
                <w:trHeight w:val="1378" w:hRule="atLeast"/>
              </w:trPr>
              <w:tc>
                <w:tcPr>
                  <w:tcW w:w="36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p>
              </w:tc>
              <w:tc>
                <w:tcPr>
                  <w:tcW w:w="1002"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文件受控率</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31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文件受控数/文件受控总数×100%</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每月</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587"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141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115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51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586"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764"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33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 w:type="dxa"/>
                <w:trHeight w:val="1211" w:hRule="atLeast"/>
              </w:trPr>
              <w:tc>
                <w:tcPr>
                  <w:tcW w:w="36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p>
              </w:tc>
              <w:tc>
                <w:tcPr>
                  <w:tcW w:w="1002"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采购的产品合格率</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≥95%</w:t>
                  </w:r>
                </w:p>
              </w:tc>
              <w:tc>
                <w:tcPr>
                  <w:tcW w:w="31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（采购的产品合格的批次/总采购批次）×100%</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每月</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587"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141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115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51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586"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764"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33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 w:type="dxa"/>
                <w:trHeight w:val="1295" w:hRule="atLeast"/>
              </w:trPr>
              <w:tc>
                <w:tcPr>
                  <w:tcW w:w="361"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p>
              </w:tc>
              <w:tc>
                <w:tcPr>
                  <w:tcW w:w="1002"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顾客满意度</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≥90分</w:t>
                  </w:r>
                </w:p>
              </w:tc>
              <w:tc>
                <w:tcPr>
                  <w:tcW w:w="31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（满意的客户分数/调查的客户总数）×100%</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每年</w:t>
                  </w:r>
                </w:p>
              </w:tc>
              <w:tc>
                <w:tcPr>
                  <w:tcW w:w="754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97分</w:t>
                  </w:r>
                </w:p>
              </w:tc>
            </w:tr>
          </w:tbl>
          <w:p>
            <w:pPr>
              <w:rPr>
                <w:rFonts w:hint="eastAsia" w:ascii="宋体" w:hAnsi="宋体" w:eastAsia="宋体" w:cs="宋体"/>
                <w:color w:val="auto"/>
                <w:sz w:val="21"/>
                <w:szCs w:val="21"/>
              </w:rPr>
            </w:pPr>
          </w:p>
          <w:p>
            <w:pPr>
              <w:jc w:val="center"/>
              <w:rPr>
                <w:rFonts w:hint="eastAsia" w:ascii="宋体" w:hAnsi="宋体" w:eastAsia="宋体" w:cs="宋体"/>
                <w:b/>
                <w:bCs/>
                <w:color w:val="auto"/>
                <w:sz w:val="21"/>
                <w:szCs w:val="21"/>
                <w:lang w:eastAsia="zh-CN"/>
              </w:rPr>
            </w:pPr>
            <w:r>
              <w:rPr>
                <w:rFonts w:hint="eastAsia" w:ascii="宋体" w:hAnsi="宋体" w:cs="宋体"/>
                <w:b/>
                <w:bCs w:val="0"/>
                <w:color w:val="auto"/>
                <w:sz w:val="21"/>
                <w:szCs w:val="21"/>
                <w:u w:val="none"/>
                <w:lang w:eastAsia="zh-CN"/>
              </w:rPr>
              <w:t>辽宁省玖泰控股集团有限公司</w:t>
            </w:r>
          </w:p>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bCs/>
                <w:color w:val="auto"/>
                <w:sz w:val="21"/>
                <w:szCs w:val="21"/>
                <w:lang w:val="en-US" w:eastAsia="zh-CN"/>
              </w:rPr>
              <w:t xml:space="preserve">                       </w:t>
            </w:r>
            <w:r>
              <w:rPr>
                <w:rFonts w:hint="eastAsia" w:ascii="宋体" w:hAnsi="宋体" w:eastAsia="宋体" w:cs="宋体"/>
                <w:b/>
                <w:i w:val="0"/>
                <w:color w:val="auto"/>
                <w:kern w:val="0"/>
                <w:sz w:val="21"/>
                <w:szCs w:val="21"/>
                <w:u w:val="none"/>
                <w:lang w:val="en-US" w:eastAsia="zh-CN" w:bidi="ar"/>
              </w:rPr>
              <w:t xml:space="preserve">环境目标、指标运行目标统计表                  </w:t>
            </w:r>
            <w:r>
              <w:rPr>
                <w:rStyle w:val="27"/>
                <w:rFonts w:hint="eastAsia" w:ascii="宋体" w:hAnsi="宋体" w:eastAsia="宋体" w:cs="宋体"/>
                <w:color w:val="auto"/>
                <w:sz w:val="21"/>
                <w:szCs w:val="21"/>
                <w:lang w:val="en-US" w:eastAsia="zh-CN" w:bidi="ar"/>
              </w:rPr>
              <w:t>编号：</w:t>
            </w:r>
            <w:r>
              <w:rPr>
                <w:rStyle w:val="27"/>
                <w:rFonts w:hint="eastAsia" w:ascii="宋体" w:hAnsi="宋体" w:cs="宋体"/>
                <w:color w:val="auto"/>
                <w:sz w:val="21"/>
                <w:szCs w:val="21"/>
                <w:lang w:val="en-US" w:eastAsia="zh-CN" w:bidi="ar"/>
              </w:rPr>
              <w:t>JT</w:t>
            </w:r>
            <w:r>
              <w:rPr>
                <w:rStyle w:val="27"/>
                <w:rFonts w:hint="eastAsia" w:ascii="宋体" w:hAnsi="宋体" w:eastAsia="宋体" w:cs="宋体"/>
                <w:color w:val="auto"/>
                <w:sz w:val="21"/>
                <w:szCs w:val="21"/>
                <w:lang w:val="en-US" w:eastAsia="zh-CN" w:bidi="ar"/>
              </w:rPr>
              <w:t>-QES-P-02-003</w:t>
            </w:r>
          </w:p>
          <w:tbl>
            <w:tblPr>
              <w:tblStyle w:val="14"/>
              <w:tblW w:w="154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12"/>
              <w:gridCol w:w="812"/>
              <w:gridCol w:w="1572"/>
              <w:gridCol w:w="1314"/>
              <w:gridCol w:w="2600"/>
              <w:gridCol w:w="1029"/>
              <w:gridCol w:w="913"/>
              <w:gridCol w:w="913"/>
              <w:gridCol w:w="913"/>
              <w:gridCol w:w="913"/>
              <w:gridCol w:w="913"/>
              <w:gridCol w:w="611"/>
              <w:gridCol w:w="302"/>
              <w:gridCol w:w="306"/>
              <w:gridCol w:w="320"/>
              <w:gridCol w:w="422"/>
              <w:gridCol w:w="204"/>
              <w:gridCol w:w="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4" w:hRule="exact"/>
              </w:trPr>
              <w:tc>
                <w:tcPr>
                  <w:tcW w:w="8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序号</w:t>
                  </w:r>
                </w:p>
              </w:tc>
              <w:tc>
                <w:tcPr>
                  <w:tcW w:w="238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目标类别</w:t>
                  </w:r>
                </w:p>
              </w:tc>
              <w:tc>
                <w:tcPr>
                  <w:tcW w:w="13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指标</w:t>
                  </w:r>
                </w:p>
              </w:tc>
              <w:tc>
                <w:tcPr>
                  <w:tcW w:w="2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统计公式</w:t>
                  </w:r>
                </w:p>
              </w:tc>
              <w:tc>
                <w:tcPr>
                  <w:tcW w:w="10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统计</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周期</w:t>
                  </w:r>
                </w:p>
              </w:tc>
              <w:tc>
                <w:tcPr>
                  <w:tcW w:w="7358"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99" w:hRule="exact"/>
              </w:trPr>
              <w:tc>
                <w:tcPr>
                  <w:tcW w:w="81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c>
                <w:tcPr>
                  <w:tcW w:w="2384"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c>
                <w:tcPr>
                  <w:tcW w:w="131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c>
                <w:tcPr>
                  <w:tcW w:w="260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c>
                <w:tcPr>
                  <w:tcW w:w="102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c>
                <w:tcPr>
                  <w:tcW w:w="913"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12月</w:t>
                  </w:r>
                </w:p>
              </w:tc>
              <w:tc>
                <w:tcPr>
                  <w:tcW w:w="913"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1月</w:t>
                  </w:r>
                </w:p>
              </w:tc>
              <w:tc>
                <w:tcPr>
                  <w:tcW w:w="913"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2月</w:t>
                  </w:r>
                </w:p>
              </w:tc>
              <w:tc>
                <w:tcPr>
                  <w:tcW w:w="913"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3月</w:t>
                  </w:r>
                </w:p>
              </w:tc>
              <w:tc>
                <w:tcPr>
                  <w:tcW w:w="913"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4月</w:t>
                  </w:r>
                </w:p>
              </w:tc>
              <w:tc>
                <w:tcPr>
                  <w:tcW w:w="611"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5月</w:t>
                  </w:r>
                </w:p>
              </w:tc>
              <w:tc>
                <w:tcPr>
                  <w:tcW w:w="60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6月</w:t>
                  </w:r>
                </w:p>
              </w:tc>
              <w:tc>
                <w:tcPr>
                  <w:tcW w:w="742"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7月</w:t>
                  </w:r>
                </w:p>
              </w:tc>
              <w:tc>
                <w:tcPr>
                  <w:tcW w:w="832"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58" w:hRule="exact"/>
              </w:trPr>
              <w:tc>
                <w:tcPr>
                  <w:tcW w:w="8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1</w:t>
                  </w:r>
                </w:p>
              </w:tc>
              <w:tc>
                <w:tcPr>
                  <w:tcW w:w="812"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kern w:val="0"/>
                      <w:sz w:val="21"/>
                      <w:szCs w:val="21"/>
                      <w:u w:val="none"/>
                      <w:lang w:val="en-US" w:eastAsia="zh-CN" w:bidi="ar"/>
                    </w:rPr>
                    <w:t>总目标</w:t>
                  </w:r>
                </w:p>
              </w:tc>
              <w:tc>
                <w:tcPr>
                  <w:tcW w:w="1572"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rPr>
                    <w:t>固体废弃物分类处理率100%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lang w:val="en-US" w:eastAsia="zh-CN"/>
                    </w:rPr>
                    <w:t>100%</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lang w:val="en-US" w:eastAsia="zh-CN"/>
                    </w:rPr>
                    <w:t>（回收的固体废物批次</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固体废物总批次）</w:t>
                  </w:r>
                  <w:r>
                    <w:rPr>
                      <w:rFonts w:hint="eastAsia" w:ascii="宋体" w:hAnsi="宋体" w:eastAsia="宋体" w:cs="宋体"/>
                      <w:color w:val="auto"/>
                      <w:sz w:val="21"/>
                      <w:szCs w:val="21"/>
                    </w:rPr>
                    <w:t>*100%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每月</w:t>
                  </w:r>
                </w:p>
              </w:tc>
              <w:tc>
                <w:tcPr>
                  <w:tcW w:w="9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sz w:val="21"/>
                      <w:szCs w:val="21"/>
                      <w:lang w:val="en-US" w:eastAsia="zh-CN"/>
                    </w:rPr>
                    <w:t>100%</w:t>
                  </w:r>
                </w:p>
              </w:tc>
              <w:tc>
                <w:tcPr>
                  <w:tcW w:w="9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sz w:val="21"/>
                      <w:szCs w:val="21"/>
                      <w:lang w:val="en-US" w:eastAsia="zh-CN"/>
                    </w:rPr>
                    <w:t>100%</w:t>
                  </w:r>
                </w:p>
              </w:tc>
              <w:tc>
                <w:tcPr>
                  <w:tcW w:w="9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sz w:val="21"/>
                      <w:szCs w:val="21"/>
                      <w:lang w:val="en-US" w:eastAsia="zh-CN"/>
                    </w:rPr>
                    <w:t>100%</w:t>
                  </w:r>
                </w:p>
              </w:tc>
              <w:tc>
                <w:tcPr>
                  <w:tcW w:w="91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sz w:val="21"/>
                      <w:szCs w:val="21"/>
                      <w:lang w:val="en-US" w:eastAsia="zh-CN"/>
                    </w:rPr>
                    <w:t>100%</w:t>
                  </w:r>
                </w:p>
              </w:tc>
              <w:tc>
                <w:tcPr>
                  <w:tcW w:w="91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sz w:val="21"/>
                      <w:szCs w:val="21"/>
                      <w:lang w:val="en-US" w:eastAsia="zh-CN"/>
                    </w:rPr>
                    <w:t>100%</w:t>
                  </w:r>
                </w:p>
              </w:tc>
              <w:tc>
                <w:tcPr>
                  <w:tcW w:w="61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w:t>
                  </w:r>
                </w:p>
              </w:tc>
              <w:tc>
                <w:tcPr>
                  <w:tcW w:w="608"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w:t>
                  </w:r>
                </w:p>
              </w:tc>
              <w:tc>
                <w:tcPr>
                  <w:tcW w:w="742"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100%</w:t>
                  </w:r>
                </w:p>
              </w:tc>
              <w:tc>
                <w:tcPr>
                  <w:tcW w:w="832"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11" w:hRule="exact"/>
              </w:trPr>
              <w:tc>
                <w:tcPr>
                  <w:tcW w:w="8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sz w:val="21"/>
                      <w:szCs w:val="21"/>
                      <w:u w:val="none"/>
                      <w:lang w:val="en-US" w:eastAsia="zh-CN"/>
                    </w:rPr>
                  </w:pPr>
                </w:p>
              </w:tc>
              <w:tc>
                <w:tcPr>
                  <w:tcW w:w="812" w:type="dxa"/>
                  <w:vMerge w:val="continue"/>
                  <w:tcBorders>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c>
                <w:tcPr>
                  <w:tcW w:w="1572" w:type="dxa"/>
                  <w:tcBorders>
                    <w:top w:val="single" w:color="auto" w:sz="4" w:space="0"/>
                    <w:left w:val="single" w:color="000000" w:sz="4" w:space="0"/>
                    <w:bottom w:val="single" w:color="auto" w:sz="4" w:space="0"/>
                    <w:right w:val="single" w:color="000000" w:sz="4" w:space="0"/>
                  </w:tcBorders>
                  <w:shd w:val="clear" w:color="auto" w:fill="auto"/>
                  <w:vAlign w:val="center"/>
                </w:tcPr>
                <w:p>
                  <w:pPr>
                    <w:ind w:left="210" w:leftChars="100"/>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rPr>
                    <w:t>火灾事故为零；</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rPr>
                    <w:t>火灾事故</w:t>
                  </w:r>
                  <w:r>
                    <w:rPr>
                      <w:rFonts w:hint="eastAsia" w:ascii="宋体" w:hAnsi="宋体" w:eastAsia="宋体" w:cs="宋体"/>
                      <w:color w:val="auto"/>
                      <w:sz w:val="21"/>
                      <w:szCs w:val="21"/>
                      <w:lang w:val="en-US" w:eastAsia="zh-CN"/>
                    </w:rPr>
                    <w:t>次数</w:t>
                  </w:r>
                  <w:r>
                    <w:rPr>
                      <w:rFonts w:hint="eastAsia" w:ascii="宋体" w:hAnsi="宋体" w:eastAsia="宋体" w:cs="宋体"/>
                      <w:color w:val="auto"/>
                      <w:sz w:val="21"/>
                      <w:szCs w:val="21"/>
                    </w:rPr>
                    <w:t>为</w:t>
                  </w:r>
                  <w:r>
                    <w:rPr>
                      <w:rFonts w:hint="eastAsia" w:ascii="宋体" w:hAnsi="宋体" w:eastAsia="宋体" w:cs="宋体"/>
                      <w:color w:val="auto"/>
                      <w:sz w:val="21"/>
                      <w:szCs w:val="21"/>
                      <w:lang w:val="en-US" w:eastAsia="zh-CN"/>
                    </w:rPr>
                    <w:t>0次</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lang w:val="en-US" w:eastAsia="zh-CN"/>
                    </w:rPr>
                    <w:t>统计发生的火灾的次数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每月</w:t>
                  </w:r>
                </w:p>
              </w:tc>
              <w:tc>
                <w:tcPr>
                  <w:tcW w:w="9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9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9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91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91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61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608"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742"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832"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32" w:hRule="exact"/>
              </w:trPr>
              <w:tc>
                <w:tcPr>
                  <w:tcW w:w="812"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2</w:t>
                  </w:r>
                </w:p>
              </w:tc>
              <w:tc>
                <w:tcPr>
                  <w:tcW w:w="812" w:type="dxa"/>
                  <w:vMerge w:val="restart"/>
                  <w:tcBorders>
                    <w:top w:val="single" w:color="auto" w:sz="4" w:space="0"/>
                    <w:left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lang w:val="en-US" w:eastAsia="zh-CN"/>
                    </w:rPr>
                  </w:pPr>
                  <w:r>
                    <w:rPr>
                      <w:rFonts w:hint="eastAsia" w:ascii="宋体" w:hAnsi="宋体" w:eastAsia="宋体" w:cs="宋体"/>
                      <w:color w:val="auto"/>
                      <w:sz w:val="21"/>
                      <w:szCs w:val="21"/>
                      <w:lang w:eastAsia="zh-CN"/>
                    </w:rPr>
                    <w:t>项目部</w:t>
                  </w:r>
                </w:p>
              </w:tc>
              <w:tc>
                <w:tcPr>
                  <w:tcW w:w="1572"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rPr>
                    <w:t>固体废弃物分类处理率100%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lang w:val="en-US" w:eastAsia="zh-CN"/>
                    </w:rPr>
                    <w:t>100%</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lang w:val="en-US" w:eastAsia="zh-CN"/>
                    </w:rPr>
                    <w:t>（回收的固体废物批次</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固体废物总批次）</w:t>
                  </w:r>
                  <w:r>
                    <w:rPr>
                      <w:rFonts w:hint="eastAsia" w:ascii="宋体" w:hAnsi="宋体" w:eastAsia="宋体" w:cs="宋体"/>
                      <w:color w:val="auto"/>
                      <w:sz w:val="21"/>
                      <w:szCs w:val="21"/>
                    </w:rPr>
                    <w:t>*100%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每月</w:t>
                  </w:r>
                </w:p>
              </w:tc>
              <w:tc>
                <w:tcPr>
                  <w:tcW w:w="9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lang w:val="en-US" w:eastAsia="zh-CN"/>
                    </w:rPr>
                    <w:t>100%</w:t>
                  </w:r>
                </w:p>
              </w:tc>
              <w:tc>
                <w:tcPr>
                  <w:tcW w:w="9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lang w:val="en-US" w:eastAsia="zh-CN"/>
                    </w:rPr>
                    <w:t>100%</w:t>
                  </w:r>
                </w:p>
              </w:tc>
              <w:tc>
                <w:tcPr>
                  <w:tcW w:w="9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lang w:val="en-US" w:eastAsia="zh-CN"/>
                    </w:rPr>
                    <w:t>100%</w:t>
                  </w:r>
                </w:p>
              </w:tc>
              <w:tc>
                <w:tcPr>
                  <w:tcW w:w="91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sz w:val="21"/>
                      <w:szCs w:val="21"/>
                      <w:lang w:val="en-US" w:eastAsia="zh-CN"/>
                    </w:rPr>
                    <w:t>100%</w:t>
                  </w:r>
                </w:p>
              </w:tc>
              <w:tc>
                <w:tcPr>
                  <w:tcW w:w="91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sz w:val="21"/>
                      <w:szCs w:val="21"/>
                      <w:lang w:val="en-US" w:eastAsia="zh-CN"/>
                    </w:rPr>
                    <w:t>100%</w:t>
                  </w:r>
                </w:p>
              </w:tc>
              <w:tc>
                <w:tcPr>
                  <w:tcW w:w="61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w:t>
                  </w:r>
                </w:p>
              </w:tc>
              <w:tc>
                <w:tcPr>
                  <w:tcW w:w="608"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w:t>
                  </w:r>
                </w:p>
              </w:tc>
              <w:tc>
                <w:tcPr>
                  <w:tcW w:w="742"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100%</w:t>
                  </w:r>
                </w:p>
              </w:tc>
              <w:tc>
                <w:tcPr>
                  <w:tcW w:w="832"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99" w:hRule="exact"/>
              </w:trPr>
              <w:tc>
                <w:tcPr>
                  <w:tcW w:w="812"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sz w:val="21"/>
                      <w:szCs w:val="21"/>
                      <w:u w:val="none"/>
                      <w:lang w:val="en-US" w:eastAsia="zh-CN"/>
                    </w:rPr>
                  </w:pPr>
                </w:p>
              </w:tc>
              <w:tc>
                <w:tcPr>
                  <w:tcW w:w="812" w:type="dxa"/>
                  <w:vMerge w:val="continue"/>
                  <w:tcBorders>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lang w:val="en-US" w:eastAsia="zh-CN"/>
                    </w:rPr>
                  </w:pPr>
                </w:p>
              </w:tc>
              <w:tc>
                <w:tcPr>
                  <w:tcW w:w="1572" w:type="dxa"/>
                  <w:tcBorders>
                    <w:top w:val="single" w:color="auto" w:sz="4" w:space="0"/>
                    <w:left w:val="single" w:color="000000" w:sz="4" w:space="0"/>
                    <w:bottom w:val="single" w:color="auto" w:sz="4" w:space="0"/>
                    <w:right w:val="single" w:color="000000" w:sz="4" w:space="0"/>
                  </w:tcBorders>
                  <w:shd w:val="clear" w:color="auto" w:fill="auto"/>
                  <w:vAlign w:val="center"/>
                </w:tcPr>
                <w:p>
                  <w:pPr>
                    <w:ind w:left="210" w:leftChars="100"/>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rPr>
                    <w:t>火灾事故为零；</w:t>
                  </w:r>
                </w:p>
              </w:tc>
              <w:tc>
                <w:tcPr>
                  <w:tcW w:w="1314"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rPr>
                    <w:t>火灾事故</w:t>
                  </w:r>
                  <w:r>
                    <w:rPr>
                      <w:rFonts w:hint="eastAsia" w:ascii="宋体" w:hAnsi="宋体" w:eastAsia="宋体" w:cs="宋体"/>
                      <w:color w:val="auto"/>
                      <w:sz w:val="21"/>
                      <w:szCs w:val="21"/>
                      <w:lang w:val="en-US" w:eastAsia="zh-CN"/>
                    </w:rPr>
                    <w:t>次数</w:t>
                  </w:r>
                  <w:r>
                    <w:rPr>
                      <w:rFonts w:hint="eastAsia" w:ascii="宋体" w:hAnsi="宋体" w:eastAsia="宋体" w:cs="宋体"/>
                      <w:color w:val="auto"/>
                      <w:sz w:val="21"/>
                      <w:szCs w:val="21"/>
                    </w:rPr>
                    <w:t>为</w:t>
                  </w:r>
                  <w:r>
                    <w:rPr>
                      <w:rFonts w:hint="eastAsia" w:ascii="宋体" w:hAnsi="宋体" w:eastAsia="宋体" w:cs="宋体"/>
                      <w:color w:val="auto"/>
                      <w:sz w:val="21"/>
                      <w:szCs w:val="21"/>
                      <w:lang w:val="en-US" w:eastAsia="zh-CN"/>
                    </w:rPr>
                    <w:t>0次</w:t>
                  </w:r>
                </w:p>
              </w:tc>
              <w:tc>
                <w:tcPr>
                  <w:tcW w:w="260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lang w:val="en-US" w:eastAsia="zh-CN"/>
                    </w:rPr>
                    <w:t>统计发生的火灾的次数</w:t>
                  </w:r>
                </w:p>
              </w:tc>
              <w:tc>
                <w:tcPr>
                  <w:tcW w:w="102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每月</w:t>
                  </w:r>
                </w:p>
              </w:tc>
              <w:tc>
                <w:tcPr>
                  <w:tcW w:w="913"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913"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913"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913"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913"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611"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608"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742"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832"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37" w:hRule="exact"/>
              </w:trPr>
              <w:tc>
                <w:tcPr>
                  <w:tcW w:w="812" w:type="dxa"/>
                  <w:vMerge w:val="restart"/>
                  <w:tcBorders>
                    <w:top w:val="single" w:color="auto" w:sz="4" w:space="0"/>
                    <w:left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3</w:t>
                  </w:r>
                </w:p>
              </w:tc>
              <w:tc>
                <w:tcPr>
                  <w:tcW w:w="812"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eastAsia="zh-CN"/>
                    </w:rPr>
                    <w:t>行政部</w:t>
                  </w:r>
                </w:p>
              </w:tc>
              <w:tc>
                <w:tcPr>
                  <w:tcW w:w="1572"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lang w:val="en-US" w:eastAsia="zh-CN"/>
                    </w:rPr>
                    <w:t>环保意识教育</w:t>
                  </w:r>
                </w:p>
              </w:tc>
              <w:tc>
                <w:tcPr>
                  <w:tcW w:w="1314"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highlight w:val="none"/>
                      <w:lang w:val="en-US" w:eastAsia="zh-CN"/>
                    </w:rPr>
                    <w:t>合格率100%</w:t>
                  </w:r>
                </w:p>
              </w:tc>
              <w:tc>
                <w:tcPr>
                  <w:tcW w:w="260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lang w:val="en-US" w:eastAsia="zh-CN"/>
                    </w:rPr>
                    <w:t>（参与环保意识教育合格的人数/总参加人数）</w:t>
                  </w:r>
                  <w:r>
                    <w:rPr>
                      <w:rFonts w:hint="eastAsia" w:ascii="宋体" w:hAnsi="宋体" w:eastAsia="宋体" w:cs="宋体"/>
                      <w:color w:val="auto"/>
                      <w:sz w:val="21"/>
                      <w:szCs w:val="21"/>
                    </w:rPr>
                    <w:t xml:space="preserve"> *100%</w:t>
                  </w:r>
                </w:p>
              </w:tc>
              <w:tc>
                <w:tcPr>
                  <w:tcW w:w="102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每月</w:t>
                  </w:r>
                </w:p>
              </w:tc>
              <w:tc>
                <w:tcPr>
                  <w:tcW w:w="913"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100%</w:t>
                  </w:r>
                </w:p>
              </w:tc>
              <w:tc>
                <w:tcPr>
                  <w:tcW w:w="913"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100%</w:t>
                  </w:r>
                </w:p>
              </w:tc>
              <w:tc>
                <w:tcPr>
                  <w:tcW w:w="913"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100%</w:t>
                  </w:r>
                </w:p>
              </w:tc>
              <w:tc>
                <w:tcPr>
                  <w:tcW w:w="913"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913"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611"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60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742"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832"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32" w:hRule="exact"/>
              </w:trPr>
              <w:tc>
                <w:tcPr>
                  <w:tcW w:w="812" w:type="dxa"/>
                  <w:vMerge w:val="continue"/>
                  <w:tcBorders>
                    <w:left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c>
                <w:tcPr>
                  <w:tcW w:w="81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lang w:val="en-US" w:eastAsia="zh-CN"/>
                    </w:rPr>
                  </w:pPr>
                </w:p>
              </w:tc>
              <w:tc>
                <w:tcPr>
                  <w:tcW w:w="1572" w:type="dxa"/>
                  <w:tcBorders>
                    <w:top w:val="single" w:color="auto" w:sz="4" w:space="0"/>
                    <w:left w:val="single" w:color="000000" w:sz="4" w:space="0"/>
                    <w:bottom w:val="single" w:color="auto" w:sz="4" w:space="0"/>
                    <w:right w:val="single" w:color="000000" w:sz="4" w:space="0"/>
                  </w:tcBorders>
                  <w:shd w:val="clear" w:color="auto" w:fill="auto"/>
                  <w:vAlign w:val="center"/>
                </w:tcPr>
                <w:p>
                  <w:pPr>
                    <w:ind w:left="210" w:leftChars="100"/>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rPr>
                    <w:t>火灾事故为零；</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rPr>
                    <w:t>火灾事故</w:t>
                  </w:r>
                  <w:r>
                    <w:rPr>
                      <w:rFonts w:hint="eastAsia" w:ascii="宋体" w:hAnsi="宋体" w:eastAsia="宋体" w:cs="宋体"/>
                      <w:color w:val="auto"/>
                      <w:sz w:val="21"/>
                      <w:szCs w:val="21"/>
                      <w:lang w:val="en-US" w:eastAsia="zh-CN"/>
                    </w:rPr>
                    <w:t>次数</w:t>
                  </w:r>
                  <w:r>
                    <w:rPr>
                      <w:rFonts w:hint="eastAsia" w:ascii="宋体" w:hAnsi="宋体" w:eastAsia="宋体" w:cs="宋体"/>
                      <w:color w:val="auto"/>
                      <w:sz w:val="21"/>
                      <w:szCs w:val="21"/>
                    </w:rPr>
                    <w:t>为</w:t>
                  </w:r>
                  <w:r>
                    <w:rPr>
                      <w:rFonts w:hint="eastAsia" w:ascii="宋体" w:hAnsi="宋体" w:eastAsia="宋体" w:cs="宋体"/>
                      <w:color w:val="auto"/>
                      <w:sz w:val="21"/>
                      <w:szCs w:val="21"/>
                      <w:lang w:val="en-US" w:eastAsia="zh-CN"/>
                    </w:rPr>
                    <w:t>0次</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lang w:val="en-US" w:eastAsia="zh-CN"/>
                    </w:rPr>
                    <w:t>统计发生的火灾的次数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每月</w:t>
                  </w:r>
                </w:p>
              </w:tc>
              <w:tc>
                <w:tcPr>
                  <w:tcW w:w="9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9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9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91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91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61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608"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742"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832"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33" w:hRule="exact"/>
              </w:trPr>
              <w:tc>
                <w:tcPr>
                  <w:tcW w:w="812" w:type="dxa"/>
                  <w:vMerge w:val="continue"/>
                  <w:tcBorders>
                    <w:left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c>
                <w:tcPr>
                  <w:tcW w:w="812"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lang w:val="en-US" w:eastAsia="zh-CN"/>
                    </w:rPr>
                  </w:pPr>
                </w:p>
              </w:tc>
              <w:tc>
                <w:tcPr>
                  <w:tcW w:w="1572"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rPr>
                    <w:t>固体废弃物分类处理率100%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lang w:val="en-US" w:eastAsia="zh-CN"/>
                    </w:rPr>
                    <w:t>100%</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lang w:val="en-US" w:eastAsia="zh-CN"/>
                    </w:rPr>
                    <w:t>（回收的固体废物批次</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固体废物总批次）</w:t>
                  </w:r>
                  <w:r>
                    <w:rPr>
                      <w:rFonts w:hint="eastAsia" w:ascii="宋体" w:hAnsi="宋体" w:eastAsia="宋体" w:cs="宋体"/>
                      <w:color w:val="auto"/>
                      <w:sz w:val="21"/>
                      <w:szCs w:val="21"/>
                    </w:rPr>
                    <w:t>*100%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每月</w:t>
                  </w:r>
                </w:p>
              </w:tc>
              <w:tc>
                <w:tcPr>
                  <w:tcW w:w="9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9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9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91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91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61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608"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742"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832"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90" w:hRule="exact"/>
              </w:trPr>
              <w:tc>
                <w:tcPr>
                  <w:tcW w:w="812" w:type="dxa"/>
                  <w:tcBorders>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c>
                <w:tcPr>
                  <w:tcW w:w="812" w:type="dxa"/>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lang w:val="en-US" w:eastAsia="zh-CN"/>
                    </w:rPr>
                  </w:pPr>
                </w:p>
              </w:tc>
              <w:tc>
                <w:tcPr>
                  <w:tcW w:w="157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提供资金100%到位保证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ES管理体系正常运行</w:t>
                  </w:r>
                </w:p>
              </w:tc>
              <w:tc>
                <w:tcPr>
                  <w:tcW w:w="131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100%</w:t>
                  </w:r>
                </w:p>
              </w:tc>
              <w:tc>
                <w:tcPr>
                  <w:tcW w:w="26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lang w:val="en-US" w:eastAsia="zh-CN"/>
                    </w:rPr>
                    <w:t>（到位资金的项目数/需要资金的项目总数）*100%</w:t>
                  </w:r>
                </w:p>
              </w:tc>
              <w:tc>
                <w:tcPr>
                  <w:tcW w:w="102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每月</w:t>
                  </w:r>
                </w:p>
              </w:tc>
              <w:tc>
                <w:tcPr>
                  <w:tcW w:w="913"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913"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913"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913"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913"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913"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626"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626"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628"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r>
          </w:tbl>
          <w:p>
            <w:pPr>
              <w:rPr>
                <w:rFonts w:hint="eastAsia" w:ascii="宋体" w:hAnsi="宋体" w:eastAsia="宋体" w:cs="宋体"/>
                <w:color w:val="auto"/>
                <w:sz w:val="21"/>
                <w:szCs w:val="21"/>
              </w:rPr>
            </w:pPr>
          </w:p>
          <w:p>
            <w:pPr>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编制：</w:t>
            </w:r>
            <w:r>
              <w:rPr>
                <w:rFonts w:hint="eastAsia" w:ascii="宋体" w:hAnsi="宋体" w:cs="宋体"/>
                <w:b w:val="0"/>
                <w:bCs w:val="0"/>
                <w:color w:val="auto"/>
                <w:sz w:val="21"/>
                <w:szCs w:val="21"/>
                <w:u w:val="none"/>
                <w:lang w:val="en-US" w:eastAsia="zh-CN"/>
              </w:rPr>
              <w:t>闫欣欣</w:t>
            </w:r>
            <w:r>
              <w:rPr>
                <w:rFonts w:hint="eastAsia" w:ascii="宋体" w:hAnsi="宋体" w:eastAsia="宋体" w:cs="宋体"/>
                <w:b w:val="0"/>
                <w:bCs w:val="0"/>
                <w:color w:val="auto"/>
                <w:sz w:val="21"/>
                <w:szCs w:val="21"/>
                <w:u w:val="none"/>
                <w:lang w:val="en-US" w:eastAsia="zh-CN"/>
              </w:rPr>
              <w:t xml:space="preserve">                   审核：</w:t>
            </w:r>
            <w:r>
              <w:rPr>
                <w:rFonts w:hint="eastAsia" w:ascii="宋体" w:hAnsi="宋体" w:cs="宋体"/>
                <w:b w:val="0"/>
                <w:bCs w:val="0"/>
                <w:color w:val="auto"/>
                <w:sz w:val="21"/>
                <w:szCs w:val="21"/>
                <w:u w:val="none"/>
                <w:lang w:val="en-US" w:eastAsia="zh-CN"/>
              </w:rPr>
              <w:t>李晓玲</w:t>
            </w:r>
            <w:r>
              <w:rPr>
                <w:rFonts w:hint="eastAsia" w:ascii="宋体" w:hAnsi="宋体" w:eastAsia="宋体" w:cs="宋体"/>
                <w:b w:val="0"/>
                <w:bCs w:val="0"/>
                <w:color w:val="auto"/>
                <w:sz w:val="21"/>
                <w:szCs w:val="21"/>
                <w:u w:val="none"/>
                <w:lang w:val="en-US" w:eastAsia="zh-CN"/>
              </w:rPr>
              <w:t xml:space="preserve">               批准：</w:t>
            </w:r>
            <w:r>
              <w:rPr>
                <w:rFonts w:hint="eastAsia" w:ascii="宋体" w:hAnsi="宋体" w:cs="宋体"/>
                <w:b w:val="0"/>
                <w:bCs w:val="0"/>
                <w:color w:val="auto"/>
                <w:sz w:val="21"/>
                <w:szCs w:val="21"/>
                <w:u w:val="none"/>
                <w:lang w:val="en-US" w:eastAsia="zh-CN"/>
              </w:rPr>
              <w:t>李晓玲</w:t>
            </w:r>
            <w:r>
              <w:rPr>
                <w:rFonts w:hint="eastAsia" w:ascii="宋体" w:hAnsi="宋体" w:eastAsia="宋体" w:cs="宋体"/>
                <w:b w:val="0"/>
                <w:bCs w:val="0"/>
                <w:color w:val="auto"/>
                <w:sz w:val="21"/>
                <w:szCs w:val="21"/>
                <w:u w:val="none"/>
                <w:lang w:val="en-US" w:eastAsia="zh-CN"/>
              </w:rPr>
              <w:t xml:space="preserve">    时间：2022年4月1日</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管理方案由责任部门组织实施，</w:t>
            </w:r>
            <w:r>
              <w:rPr>
                <w:rFonts w:hint="eastAsia" w:ascii="宋体" w:hAnsi="宋体" w:eastAsia="宋体" w:cs="宋体"/>
                <w:color w:val="auto"/>
                <w:sz w:val="21"/>
                <w:szCs w:val="21"/>
                <w:lang w:val="en-US" w:eastAsia="zh-CN"/>
              </w:rPr>
              <w:t>已</w:t>
            </w:r>
            <w:r>
              <w:rPr>
                <w:rFonts w:hint="eastAsia" w:ascii="宋体" w:hAnsi="宋体" w:eastAsia="宋体" w:cs="宋体"/>
                <w:color w:val="auto"/>
                <w:sz w:val="21"/>
                <w:szCs w:val="21"/>
              </w:rPr>
              <w:t>完成。</w:t>
            </w:r>
          </w:p>
        </w:tc>
        <w:tc>
          <w:tcPr>
            <w:tcW w:w="577" w:type="dxa"/>
          </w:tcPr>
          <w:p>
            <w:pP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环境因素识别、危险源辨识、风险评价和控制措施的确定</w:t>
            </w:r>
          </w:p>
        </w:tc>
        <w:tc>
          <w:tcPr>
            <w:tcW w:w="1164"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EO6.1.2</w:t>
            </w:r>
          </w:p>
        </w:tc>
        <w:tc>
          <w:tcPr>
            <w:tcW w:w="11012" w:type="dxa"/>
            <w:vAlign w:val="center"/>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lang w:eastAsia="zh-CN"/>
              </w:rPr>
              <w:t>行政部</w:t>
            </w:r>
            <w:r>
              <w:rPr>
                <w:rFonts w:hint="eastAsia" w:ascii="宋体" w:hAnsi="宋体" w:eastAsia="宋体" w:cs="宋体"/>
                <w:bCs/>
                <w:color w:val="auto"/>
                <w:sz w:val="21"/>
                <w:szCs w:val="21"/>
              </w:rPr>
              <w:t>作为公司环境和</w:t>
            </w:r>
            <w:r>
              <w:rPr>
                <w:rFonts w:hint="eastAsia" w:ascii="宋体" w:hAnsi="宋体" w:eastAsia="宋体" w:cs="宋体"/>
                <w:color w:val="auto"/>
                <w:sz w:val="21"/>
                <w:szCs w:val="21"/>
              </w:rPr>
              <w:t>职业健康安全管理</w:t>
            </w:r>
            <w:r>
              <w:rPr>
                <w:rFonts w:hint="eastAsia" w:ascii="宋体" w:hAnsi="宋体" w:eastAsia="宋体" w:cs="宋体"/>
                <w:bCs/>
                <w:color w:val="auto"/>
                <w:sz w:val="21"/>
                <w:szCs w:val="21"/>
              </w:rPr>
              <w:t>体系的主控部门，主要负责识别</w:t>
            </w:r>
            <w:r>
              <w:rPr>
                <w:rFonts w:hint="eastAsia" w:ascii="宋体" w:hAnsi="宋体" w:eastAsia="宋体" w:cs="宋体"/>
                <w:color w:val="auto"/>
                <w:sz w:val="21"/>
                <w:szCs w:val="21"/>
              </w:rPr>
              <w:t>评价相关的环境因素和危险源，查有：《</w:t>
            </w:r>
            <w:r>
              <w:rPr>
                <w:rFonts w:hint="eastAsia" w:ascii="宋体" w:hAnsi="宋体" w:eastAsia="宋体" w:cs="宋体"/>
                <w:color w:val="auto"/>
                <w:kern w:val="0"/>
                <w:sz w:val="21"/>
                <w:szCs w:val="21"/>
              </w:rPr>
              <w:t>环境因素危险源识别风险评价控制程序</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询问识别：根据各部门识别及各物业管理服务、办公、销售等过程环节识别，由</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汇总。</w:t>
            </w:r>
          </w:p>
          <w:p>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查到《环境因素清单》，识别考虑了正常、异常、紧急，过去、现在、未来三种时态，考虑了供方、客户等可施加影响的环境因素，能考虑到产品生命周期观点。</w:t>
            </w:r>
          </w:p>
          <w:p>
            <w:pPr>
              <w:tabs>
                <w:tab w:val="left" w:pos="6597"/>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识别情况如下： </w:t>
            </w:r>
          </w:p>
          <w:p>
            <w:pPr>
              <w:tabs>
                <w:tab w:val="left" w:pos="6597"/>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抽 1）水：</w:t>
            </w:r>
          </w:p>
          <w:p>
            <w:pPr>
              <w:tabs>
                <w:tab w:val="left" w:pos="6597"/>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公司无生产废水外排，生活污水经化粪池处理后外排市政污水管道，化粪池定期清掏；</w:t>
            </w:r>
          </w:p>
          <w:p>
            <w:pPr>
              <w:tabs>
                <w:tab w:val="left" w:pos="6597"/>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2）噪声：</w:t>
            </w:r>
          </w:p>
          <w:p>
            <w:pPr>
              <w:tabs>
                <w:tab w:val="left" w:pos="6597"/>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办公设备运行的噪声排放等； </w:t>
            </w:r>
          </w:p>
          <w:p>
            <w:pPr>
              <w:tabs>
                <w:tab w:val="left" w:pos="6597"/>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3）气：</w:t>
            </w:r>
          </w:p>
          <w:p>
            <w:pPr>
              <w:tabs>
                <w:tab w:val="left" w:pos="6597"/>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复印机废气的排放、汽车尾气排放等；</w:t>
            </w:r>
          </w:p>
          <w:p>
            <w:pPr>
              <w:tabs>
                <w:tab w:val="left" w:pos="6597"/>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4）废渣：</w:t>
            </w:r>
          </w:p>
          <w:p>
            <w:pPr>
              <w:tabs>
                <w:tab w:val="left" w:pos="6597"/>
              </w:tabs>
              <w:spacing w:line="360" w:lineRule="auto"/>
              <w:ind w:firstLine="405"/>
              <w:rPr>
                <w:rFonts w:hint="eastAsia" w:ascii="宋体" w:hAnsi="宋体" w:eastAsia="宋体" w:cs="宋体"/>
                <w:color w:val="auto"/>
                <w:sz w:val="21"/>
                <w:szCs w:val="21"/>
              </w:rPr>
            </w:pPr>
            <w:r>
              <w:rPr>
                <w:rFonts w:hint="eastAsia" w:ascii="宋体" w:hAnsi="宋体" w:eastAsia="宋体" w:cs="宋体"/>
                <w:color w:val="auto"/>
                <w:sz w:val="21"/>
                <w:szCs w:val="21"/>
              </w:rPr>
              <w:t>生活垃圾弃置、制作废弃、办公碳粉盒废弃等；</w:t>
            </w:r>
          </w:p>
          <w:p>
            <w:pPr>
              <w:tabs>
                <w:tab w:val="left" w:pos="6597"/>
              </w:tabs>
              <w:spacing w:line="360" w:lineRule="auto"/>
              <w:ind w:firstLine="405"/>
              <w:rPr>
                <w:rFonts w:hint="eastAsia" w:ascii="宋体" w:hAnsi="宋体" w:eastAsia="宋体" w:cs="宋体"/>
                <w:color w:val="auto"/>
                <w:sz w:val="21"/>
                <w:szCs w:val="21"/>
              </w:rPr>
            </w:pPr>
            <w:r>
              <w:rPr>
                <w:rFonts w:hint="eastAsia" w:ascii="宋体" w:hAnsi="宋体" w:eastAsia="宋体" w:cs="宋体"/>
                <w:color w:val="auto"/>
                <w:sz w:val="21"/>
                <w:szCs w:val="21"/>
              </w:rPr>
              <w:t>5）（紧急、意外、异常）情况：</w:t>
            </w:r>
          </w:p>
          <w:p>
            <w:pPr>
              <w:tabs>
                <w:tab w:val="left" w:pos="6597"/>
              </w:tabs>
              <w:spacing w:line="360" w:lineRule="auto"/>
              <w:ind w:firstLine="405"/>
              <w:rPr>
                <w:rFonts w:hint="eastAsia" w:ascii="宋体" w:hAnsi="宋体" w:eastAsia="宋体" w:cs="宋体"/>
                <w:color w:val="auto"/>
                <w:sz w:val="21"/>
                <w:szCs w:val="21"/>
              </w:rPr>
            </w:pPr>
            <w:r>
              <w:rPr>
                <w:rFonts w:hint="eastAsia" w:ascii="宋体" w:hAnsi="宋体" w:eastAsia="宋体" w:cs="宋体"/>
                <w:color w:val="auto"/>
                <w:sz w:val="21"/>
                <w:szCs w:val="21"/>
              </w:rPr>
              <w:t>潜在火灾发生等。</w:t>
            </w:r>
          </w:p>
          <w:p>
            <w:pPr>
              <w:tabs>
                <w:tab w:val="left" w:pos="6597"/>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以上环境因素的识别按照过去、现在和将来三种时态，正常、异常和紧急三种状态进行了识别；并按照多因子评价法对环境因素进行了评价。</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提供了《重要环境因素清单》，</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drawing>
                <wp:anchor distT="0" distB="0" distL="114300" distR="114300" simplePos="0" relativeHeight="251659264" behindDoc="0" locked="0" layoutInCell="1" allowOverlap="1">
                  <wp:simplePos x="0" y="0"/>
                  <wp:positionH relativeFrom="column">
                    <wp:posOffset>203200</wp:posOffset>
                  </wp:positionH>
                  <wp:positionV relativeFrom="paragraph">
                    <wp:posOffset>93345</wp:posOffset>
                  </wp:positionV>
                  <wp:extent cx="6429375" cy="108775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biLevel thresh="75000"/>
                          </a:blip>
                          <a:stretch>
                            <a:fillRect/>
                          </a:stretch>
                        </pic:blipFill>
                        <pic:spPr>
                          <a:xfrm>
                            <a:off x="0" y="0"/>
                            <a:ext cx="6429375" cy="1087755"/>
                          </a:xfrm>
                          <a:prstGeom prst="rect">
                            <a:avLst/>
                          </a:prstGeom>
                        </pic:spPr>
                      </pic:pic>
                    </a:graphicData>
                  </a:graphic>
                </wp:anchor>
              </w:drawing>
            </w:r>
          </w:p>
          <w:p>
            <w:pPr>
              <w:snapToGrid w:val="0"/>
              <w:spacing w:line="360" w:lineRule="auto"/>
              <w:rPr>
                <w:rFonts w:hint="eastAsia" w:ascii="宋体" w:hAnsi="宋体" w:eastAsia="宋体" w:cs="宋体"/>
                <w:color w:val="auto"/>
                <w:sz w:val="21"/>
                <w:szCs w:val="21"/>
              </w:rPr>
            </w:pPr>
          </w:p>
          <w:p>
            <w:pPr>
              <w:snapToGrid w:val="0"/>
              <w:spacing w:line="360" w:lineRule="auto"/>
              <w:rPr>
                <w:rFonts w:hint="eastAsia" w:ascii="宋体" w:hAnsi="宋体" w:eastAsia="宋体" w:cs="宋体"/>
                <w:color w:val="auto"/>
                <w:sz w:val="21"/>
                <w:szCs w:val="21"/>
              </w:rPr>
            </w:pPr>
          </w:p>
          <w:p>
            <w:pPr>
              <w:snapToGrid w:val="0"/>
              <w:spacing w:line="360" w:lineRule="auto"/>
              <w:rPr>
                <w:rFonts w:hint="eastAsia" w:ascii="宋体" w:hAnsi="宋体" w:eastAsia="宋体" w:cs="宋体"/>
                <w:color w:val="auto"/>
                <w:sz w:val="21"/>
                <w:szCs w:val="21"/>
              </w:rPr>
            </w:pPr>
          </w:p>
          <w:p>
            <w:pPr>
              <w:snapToGrid w:val="0"/>
              <w:spacing w:line="360" w:lineRule="auto"/>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涉及本部门的环境因素有复印机废粉的排放，复印机光的辐射，复印机墨盒的废弃，打印机废硒鼓的废弃，生活污水的排放，办公车辆尾气的排放，纸的使用，水的使用，电的使用，生活垃圾的排放，纸口杯的废弃等。</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的重要环境因素为日常办公过程中固废的排放、火灾事故的发生等。</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控制措施主要有：固废分类存放、办公危废交耗材供应单位、定期监测、日常培训、消防配备消防器材等措施。</w:t>
            </w:r>
          </w:p>
          <w:p>
            <w:pPr>
              <w:spacing w:line="360" w:lineRule="auto"/>
              <w:ind w:firstLine="420" w:firstLineChars="200"/>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查《危险源识别评价表》，识别办公活动、物业管理过程中的危险源。如员工下班后不关电源，</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有人感染传染病传染其他人，文件柜放置倾斜，未熄的烟头扔进废纸篓，外部人员随意使用公司电脑，司机无证驾驶，食物变质生熟食物未分开存放，培训室空气质量不好人员感染传染病，培训结束后不关电源，空调温度调节不当，各种电源线未固定绊倒人，复印机复印时废气排放，地面潮湿路滑，</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植物搭配不合理产生毒素或花粉过敏，办公车辆未定期保养等。</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查到《不可接受风险清单》，</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drawing>
                <wp:anchor distT="0" distB="0" distL="114300" distR="114300" simplePos="0" relativeHeight="251660288" behindDoc="0" locked="0" layoutInCell="1" allowOverlap="1">
                  <wp:simplePos x="0" y="0"/>
                  <wp:positionH relativeFrom="column">
                    <wp:posOffset>82550</wp:posOffset>
                  </wp:positionH>
                  <wp:positionV relativeFrom="paragraph">
                    <wp:posOffset>61595</wp:posOffset>
                  </wp:positionV>
                  <wp:extent cx="6591300" cy="141160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biLevel thresh="75000"/>
                          </a:blip>
                          <a:stretch>
                            <a:fillRect/>
                          </a:stretch>
                        </pic:blipFill>
                        <pic:spPr>
                          <a:xfrm>
                            <a:off x="0" y="0"/>
                            <a:ext cx="6591300" cy="1411605"/>
                          </a:xfrm>
                          <a:prstGeom prst="rect">
                            <a:avLst/>
                          </a:prstGeom>
                        </pic:spPr>
                      </pic:pic>
                    </a:graphicData>
                  </a:graphic>
                </wp:anchor>
              </w:drawing>
            </w:r>
          </w:p>
          <w:p>
            <w:pPr>
              <w:spacing w:line="360" w:lineRule="auto"/>
              <w:ind w:firstLine="420" w:firstLineChars="200"/>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涉及</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的重大危险源主要是火灾和触电等。</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危险源控制执行管理方案、配备消防器材、个体防护、日常检查、日常培训教育等运行控制措施等。</w:t>
            </w:r>
          </w:p>
        </w:tc>
        <w:tc>
          <w:tcPr>
            <w:tcW w:w="577" w:type="dxa"/>
          </w:tcPr>
          <w:p>
            <w:pP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应对风险和机遇措施的策划</w:t>
            </w:r>
          </w:p>
        </w:tc>
        <w:tc>
          <w:tcPr>
            <w:tcW w:w="1164"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EO6.1.4</w:t>
            </w:r>
          </w:p>
        </w:tc>
        <w:tc>
          <w:tcPr>
            <w:tcW w:w="11012" w:type="dxa"/>
            <w:vAlign w:val="center"/>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公司根据环境因素和危险源的风险辨识结果，分别制定出《重要环境因素清单》、《不可接受风险清单》，通过具体的措施进行有效控制：目标、管理方案、管理制度运行控制、应急预案、检查、培训。</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制定了《环境、职业健康安全绩效测量控制程序》、《合规性评价控制程序》，每年对公司适用的合规义务进行识别更新并定期评价、检查。</w:t>
            </w:r>
          </w:p>
          <w:p>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color w:val="auto"/>
                <w:sz w:val="21"/>
                <w:szCs w:val="21"/>
              </w:rPr>
              <w:t>经组织评价，组织策划的措施基本能够满足风险和机遇应对需要，能够与识别的风险和机遇对产品符合性的潜在影响相适应，基本满足标准要求。</w:t>
            </w:r>
          </w:p>
        </w:tc>
        <w:tc>
          <w:tcPr>
            <w:tcW w:w="577" w:type="dxa"/>
          </w:tcPr>
          <w:p>
            <w:pP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运行控制</w:t>
            </w:r>
          </w:p>
        </w:tc>
        <w:tc>
          <w:tcPr>
            <w:tcW w:w="1164"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EO8.1</w:t>
            </w:r>
          </w:p>
        </w:tc>
        <w:tc>
          <w:tcPr>
            <w:tcW w:w="11012"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公司策划了如下要求对环境、安全体系运行进行控制，具体如下：</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1、公司编制了《</w:t>
            </w:r>
            <w:r>
              <w:rPr>
                <w:rFonts w:hint="eastAsia" w:ascii="宋体" w:hAnsi="宋体" w:eastAsia="宋体" w:cs="宋体"/>
                <w:color w:val="auto"/>
                <w:sz w:val="21"/>
                <w:szCs w:val="21"/>
                <w:lang w:eastAsia="zh-CN"/>
              </w:rPr>
              <w:t>环境、职业健康安全运行控制程序</w:t>
            </w:r>
            <w:r>
              <w:rPr>
                <w:rFonts w:hint="eastAsia" w:ascii="宋体" w:hAnsi="宋体" w:eastAsia="宋体" w:cs="宋体"/>
                <w:color w:val="auto"/>
                <w:sz w:val="21"/>
                <w:szCs w:val="21"/>
              </w:rPr>
              <w:tab/>
            </w:r>
            <w:r>
              <w:rPr>
                <w:rFonts w:hint="eastAsia" w:ascii="宋体" w:hAnsi="宋体" w:eastAsia="宋体" w:cs="宋体"/>
                <w:color w:val="auto"/>
                <w:sz w:val="21"/>
                <w:szCs w:val="21"/>
              </w:rPr>
              <w:t>》、《环境保护责任制》、《安全文明管理制度》、《</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管理制度》、《消防管理制度》、《现场安全管理制度》、《车辆管理规定》等管理规定和程序文件，规定了物业管理、办公过程安全、环境管理的要求。</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2、企业无工业废水外排，主要是生活废水，生活废水经化粪池处理后外排市政管道，定期清掏。</w:t>
            </w:r>
          </w:p>
          <w:p>
            <w:pPr>
              <w:snapToGrid w:val="0"/>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3、由</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 xml:space="preserve">负责全公司的消防器材的管理，小区、业主楼、办公区均配置了灭火器、消防栓等消防装置。 </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4、现场各类物资均分类存放，有垃圾桶，统一收集有关固废。办公区已放置了干粉灭火器，均在有效期内。</w:t>
            </w:r>
          </w:p>
          <w:p>
            <w:pPr>
              <w:pStyle w:val="3"/>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5、线路故障时其他人不得随意乱动。上下班注意交通安全，车辆定期年检。</w:t>
            </w:r>
          </w:p>
          <w:p>
            <w:pPr>
              <w:pStyle w:val="4"/>
              <w:rPr>
                <w:rFonts w:hint="eastAsia" w:ascii="宋体" w:hAnsi="宋体" w:eastAsia="宋体" w:cs="宋体"/>
                <w:color w:val="auto"/>
                <w:sz w:val="21"/>
                <w:szCs w:val="21"/>
              </w:rPr>
            </w:pPr>
          </w:p>
          <w:p>
            <w:pPr>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现场巡视办公区：</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企业位于</w:t>
            </w:r>
            <w:bookmarkStart w:id="0" w:name="生产地址"/>
            <w:r>
              <w:rPr>
                <w:rFonts w:hint="eastAsia" w:ascii="宋体" w:hAnsi="宋体" w:eastAsia="宋体" w:cs="宋体"/>
                <w:color w:val="auto"/>
                <w:sz w:val="21"/>
                <w:szCs w:val="21"/>
              </w:rPr>
              <w:t>辽宁省沈阳市皇姑区辽河街53号</w:t>
            </w:r>
            <w:bookmarkEnd w:id="0"/>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办公面积82.5平米</w:t>
            </w:r>
          </w:p>
          <w:p>
            <w:pPr>
              <w:snapToGrid w:val="0"/>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，企业属于物业管理行业，租用办公场所，四邻无敏感区域，目前物业管理的项目是</w:t>
            </w:r>
            <w:r>
              <w:rPr>
                <w:rFonts w:hint="eastAsia" w:ascii="宋体" w:hAnsi="宋体" w:eastAsia="宋体" w:cs="宋体"/>
                <w:color w:val="auto"/>
                <w:sz w:val="21"/>
                <w:szCs w:val="21"/>
                <w:lang w:eastAsia="zh-CN"/>
              </w:rPr>
              <w:t>前进市场。</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查看各办公区域电脑，空调等办公设施齐全，用电规范，无临时线使用。办公区卫生保持较好，管理较好，无废水乱排现象。无浪费水电现象。</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办公区域配置了消防栓、干粉灭火器，查看指针在绿区，有效。 </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办公车辆均经过年审，司机驾驶证在有效期内。</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办公区域均有固废分类垃圾桶，未发现乱存放废纸、废电池、硒鼓等情况。</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所管理区域区有配电室，门口有灭火器，均有效。</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部门运行控制基本符合规定要求。</w:t>
            </w:r>
          </w:p>
        </w:tc>
        <w:tc>
          <w:tcPr>
            <w:tcW w:w="577" w:type="dxa"/>
          </w:tcPr>
          <w:p>
            <w:pP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956" w:type="dxa"/>
            <w:vAlign w:val="center"/>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应急准备和响应</w:t>
            </w:r>
          </w:p>
        </w:tc>
        <w:tc>
          <w:tcPr>
            <w:tcW w:w="1164" w:type="dxa"/>
            <w:vAlign w:val="center"/>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EO8.2</w:t>
            </w:r>
          </w:p>
        </w:tc>
        <w:tc>
          <w:tcPr>
            <w:tcW w:w="11012" w:type="dxa"/>
          </w:tcPr>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公司建立了《应急准备与响应控制程序</w:t>
            </w:r>
            <w:r>
              <w:rPr>
                <w:rFonts w:hint="eastAsia" w:ascii="宋体" w:hAnsi="宋体" w:eastAsia="宋体" w:cs="宋体"/>
                <w:color w:val="auto"/>
                <w:sz w:val="21"/>
                <w:szCs w:val="21"/>
              </w:rPr>
              <w:tab/>
            </w:r>
            <w:r>
              <w:rPr>
                <w:rFonts w:hint="eastAsia" w:ascii="宋体" w:hAnsi="宋体" w:eastAsia="宋体" w:cs="宋体"/>
                <w:color w:val="auto"/>
                <w:sz w:val="21"/>
                <w:szCs w:val="21"/>
              </w:rPr>
              <w:t>》，明确了已识别的潜在紧急情况及对紧急情况应急准备和响应的控制要求，具有一定的可操作性。</w:t>
            </w:r>
          </w:p>
          <w:p>
            <w:pPr>
              <w:tabs>
                <w:tab w:val="left" w:pos="1080"/>
              </w:tabs>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了事故应急预案一本，主要包括：物业发生疫情的防治预案、防雨汛应急处理预案、意外伤亡应急预案、紧急救护预案、交通事故紧急处理预案、火灾事故紧急处理预案、爆炸、恐吓事件应急处理预案、打架斗殴事件处理预案、盗窃事件处理预案、抢劫应急预案、发生自杀或企图自杀事故的处理程序、对散反动传单、宣传品事件处理预案、凶杀事件处理预案、对醉酒滋事或精神病人的处理预案、纠纷的应急处理预案、液化气泄漏应急预案、高空坠物应急预案、中毒事件应急预案、供电突发事故应急措施、发生水浸事故处理预案、电梯故障应急处理方案等应急预案，总体来说比较充分。公司成立应急组织机构和职责，并成立了抢险救援、现场警戒、医疗救护、事故调查、善后处理等组织。包括降低人身伤害，疏散和逃生、扑救、救生、联络方式、应急设施的设置以及应急设施日常检查和维护的要求等程序要求，制定了事故报告程序、救援指挥程序等，明确了对应急预案及紧急情况进行培训和适当演练和评审的要求，具有一定的可操作性。</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查应急救援设施包括：绝缘手套、安全帽、安全带、担架、药品箱、灭火器材、消防站、火警报警系统等，基本满足应急要求。</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负责人介绍，对于上述“应急预案”，组织了培训和演习，公司</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组织公司有关人员参加了上述演习活动。</w:t>
            </w:r>
          </w:p>
          <w:p>
            <w:pPr>
              <w:widowControl/>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查消防演习记录，每</w:t>
            </w:r>
            <w:r>
              <w:rPr>
                <w:rFonts w:hint="eastAsia" w:ascii="宋体" w:hAnsi="宋体" w:eastAsia="宋体" w:cs="宋体"/>
                <w:color w:val="auto"/>
                <w:sz w:val="21"/>
                <w:szCs w:val="21"/>
                <w:lang w:val="en-US" w:eastAsia="zh-CN"/>
              </w:rPr>
              <w:t>年</w:t>
            </w:r>
            <w:r>
              <w:rPr>
                <w:rFonts w:hint="eastAsia" w:ascii="宋体" w:hAnsi="宋体" w:eastAsia="宋体" w:cs="宋体"/>
                <w:color w:val="auto"/>
                <w:sz w:val="21"/>
                <w:szCs w:val="21"/>
              </w:rPr>
              <w:t>一次，查最近一次演练时间2021.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日，消防演练内容：</w:t>
            </w:r>
          </w:p>
          <w:p>
            <w:pPr>
              <w:widowControl/>
              <w:numPr>
                <w:ilvl w:val="0"/>
                <w:numId w:val="2"/>
              </w:num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熟悉消防设施、设备。</w:t>
            </w:r>
          </w:p>
          <w:p>
            <w:pPr>
              <w:widowControl/>
              <w:numPr>
                <w:ilvl w:val="0"/>
                <w:numId w:val="2"/>
              </w:num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灭火器的使用和有效性检查。</w:t>
            </w:r>
          </w:p>
          <w:p>
            <w:pPr>
              <w:widowControl/>
              <w:numPr>
                <w:ilvl w:val="0"/>
                <w:numId w:val="2"/>
              </w:num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防火服的正确穿戴。</w:t>
            </w:r>
          </w:p>
          <w:p>
            <w:pPr>
              <w:widowControl/>
              <w:numPr>
                <w:ilvl w:val="0"/>
                <w:numId w:val="2"/>
              </w:num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检查消防设施设备的使用性能。</w:t>
            </w:r>
          </w:p>
          <w:p>
            <w:pPr>
              <w:pStyle w:val="26"/>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总指挥：当地消防大队冯参，参加人员</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、维修组、秩序部、保洁部员工。</w:t>
            </w:r>
          </w:p>
          <w:p>
            <w:pPr>
              <w:widowControl/>
              <w:snapToGrid w:val="0"/>
              <w:spacing w:line="360" w:lineRule="auto"/>
              <w:ind w:left="780"/>
              <w:rPr>
                <w:rFonts w:hint="eastAsia" w:ascii="宋体" w:hAnsi="宋体" w:eastAsia="宋体" w:cs="宋体"/>
                <w:color w:val="auto"/>
                <w:sz w:val="21"/>
                <w:szCs w:val="21"/>
              </w:rPr>
            </w:pPr>
            <w:r>
              <w:rPr>
                <w:rFonts w:hint="eastAsia" w:ascii="宋体" w:hAnsi="宋体" w:eastAsia="宋体" w:cs="宋体"/>
                <w:color w:val="auto"/>
                <w:sz w:val="21"/>
                <w:szCs w:val="21"/>
              </w:rPr>
              <w:t>演练后对演练情况进行了总结：通过这次消防演练学习，让我们熟悉了消防设施的用途及正确使用方法，同时也检验了各部门日常对消防的学习实践效果，提供有演练照片。</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目前未发生火灾、人身伤害等事故。</w:t>
            </w:r>
          </w:p>
        </w:tc>
        <w:tc>
          <w:tcPr>
            <w:tcW w:w="577" w:type="dxa"/>
          </w:tcPr>
          <w:p>
            <w:pPr>
              <w:rPr>
                <w:rFonts w:hint="eastAsia" w:ascii="宋体" w:hAnsi="宋体" w:eastAsia="宋体" w:cs="宋体"/>
                <w:color w:val="FF0000"/>
                <w:sz w:val="21"/>
                <w:szCs w:val="21"/>
              </w:rPr>
            </w:pPr>
          </w:p>
          <w:p>
            <w:pPr>
              <w:pStyle w:val="3"/>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3"/>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绩效测量和监视</w:t>
            </w:r>
          </w:p>
        </w:tc>
        <w:tc>
          <w:tcPr>
            <w:tcW w:w="1164" w:type="dxa"/>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EO9.1.1</w:t>
            </w:r>
          </w:p>
        </w:tc>
        <w:tc>
          <w:tcPr>
            <w:tcW w:w="11012" w:type="dxa"/>
            <w:vAlign w:val="center"/>
          </w:tcPr>
          <w:p>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公司编制了《监视和测量控制程序》、《环境与职业健康安全绩效监测控制程序》，</w:t>
            </w:r>
            <w:bookmarkStart w:id="1" w:name="_GoBack"/>
            <w:bookmarkEnd w:id="1"/>
          </w:p>
          <w:p>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管理体系目标考核按季度进行，抽查到2021.7.20日管理目标分解及考核表，</w:t>
            </w:r>
            <w:r>
              <w:rPr>
                <w:rFonts w:hint="eastAsia" w:ascii="宋体" w:hAnsi="宋体" w:eastAsia="宋体" w:cs="宋体"/>
                <w:sz w:val="21"/>
                <w:szCs w:val="21"/>
                <w:lang w:eastAsia="zh-CN"/>
              </w:rPr>
              <w:t>行政部</w:t>
            </w:r>
            <w:r>
              <w:rPr>
                <w:rFonts w:hint="eastAsia" w:ascii="宋体" w:hAnsi="宋体" w:eastAsia="宋体" w:cs="宋体"/>
                <w:sz w:val="21"/>
                <w:szCs w:val="21"/>
              </w:rPr>
              <w:t>负责考核，公司和分解的各部门管理目标均已完成。</w:t>
            </w:r>
          </w:p>
          <w:p>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查到2021.3.11日和2021.6.15日“环境/职业健康安全目标管理方案检查表”，经</w:t>
            </w:r>
            <w:r>
              <w:rPr>
                <w:rFonts w:hint="eastAsia" w:ascii="宋体" w:hAnsi="宋体" w:cs="宋体"/>
                <w:sz w:val="21"/>
                <w:szCs w:val="21"/>
                <w:lang w:eastAsia="zh-CN"/>
              </w:rPr>
              <w:t>闫欣欣</w:t>
            </w:r>
            <w:r>
              <w:rPr>
                <w:rFonts w:hint="eastAsia" w:ascii="宋体" w:hAnsi="宋体" w:eastAsia="宋体" w:cs="宋体"/>
                <w:sz w:val="21"/>
                <w:szCs w:val="21"/>
              </w:rPr>
              <w:t>检查，公司管理方案能完成。</w:t>
            </w:r>
          </w:p>
          <w:p>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提供“环境/安全运行检查记录”，对噪声排放、固废管理、能源资源消耗、消防安全、触电安全、交通安全等进行监视、效果评价，抽2021.6.6日检查结果正常，检查人：</w:t>
            </w:r>
            <w:r>
              <w:rPr>
                <w:rFonts w:hint="eastAsia" w:ascii="宋体" w:hAnsi="宋体" w:cs="宋体"/>
                <w:sz w:val="21"/>
                <w:szCs w:val="21"/>
                <w:lang w:eastAsia="zh-CN"/>
              </w:rPr>
              <w:t>闫欣欣</w:t>
            </w:r>
            <w:r>
              <w:rPr>
                <w:rFonts w:hint="eastAsia" w:ascii="宋体" w:hAnsi="宋体" w:eastAsia="宋体" w:cs="宋体"/>
                <w:sz w:val="21"/>
                <w:szCs w:val="21"/>
                <w:lang w:val="en-US" w:eastAsia="zh-CN"/>
              </w:rPr>
              <w:t>等</w:t>
            </w:r>
            <w:r>
              <w:rPr>
                <w:rFonts w:hint="eastAsia" w:ascii="宋体" w:hAnsi="宋体" w:eastAsia="宋体" w:cs="宋体"/>
                <w:sz w:val="21"/>
                <w:szCs w:val="21"/>
              </w:rPr>
              <w:t>。</w:t>
            </w:r>
          </w:p>
          <w:p>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提供了健康</w:t>
            </w:r>
            <w:r>
              <w:rPr>
                <w:rFonts w:hint="eastAsia" w:ascii="宋体" w:hAnsi="宋体" w:eastAsia="宋体" w:cs="宋体"/>
                <w:sz w:val="21"/>
                <w:szCs w:val="21"/>
                <w:lang w:val="en-US" w:eastAsia="zh-CN"/>
              </w:rPr>
              <w:t>证</w:t>
            </w:r>
            <w:r>
              <w:rPr>
                <w:rFonts w:hint="eastAsia" w:ascii="宋体" w:hAnsi="宋体" w:eastAsia="宋体" w:cs="宋体"/>
                <w:sz w:val="21"/>
                <w:szCs w:val="21"/>
              </w:rPr>
              <w:t>，抽查</w:t>
            </w:r>
            <w:r>
              <w:rPr>
                <w:rFonts w:hint="eastAsia" w:ascii="宋体" w:hAnsi="宋体" w:cs="宋体"/>
                <w:sz w:val="21"/>
                <w:szCs w:val="21"/>
                <w:lang w:eastAsia="zh-CN"/>
              </w:rPr>
              <w:t>高占福</w:t>
            </w:r>
            <w:r>
              <w:rPr>
                <w:rFonts w:hint="eastAsia" w:ascii="宋体" w:hAnsi="宋体" w:eastAsia="宋体" w:cs="宋体"/>
                <w:sz w:val="21"/>
                <w:szCs w:val="21"/>
              </w:rPr>
              <w:t>、</w:t>
            </w:r>
            <w:r>
              <w:rPr>
                <w:rFonts w:hint="eastAsia" w:ascii="宋体" w:hAnsi="宋体" w:eastAsia="宋体" w:cs="宋体"/>
                <w:sz w:val="21"/>
                <w:szCs w:val="21"/>
                <w:lang w:val="en-US" w:eastAsia="zh-CN"/>
              </w:rPr>
              <w:t>李宝军</w:t>
            </w:r>
            <w:r>
              <w:rPr>
                <w:rFonts w:hint="eastAsia" w:ascii="宋体" w:hAnsi="宋体" w:eastAsia="宋体" w:cs="宋体"/>
                <w:sz w:val="21"/>
                <w:szCs w:val="21"/>
              </w:rPr>
              <w:t>、</w:t>
            </w:r>
            <w:r>
              <w:rPr>
                <w:rFonts w:hint="eastAsia" w:ascii="宋体" w:hAnsi="宋体" w:eastAsia="宋体" w:cs="宋体"/>
                <w:sz w:val="21"/>
                <w:szCs w:val="21"/>
                <w:lang w:val="en-US" w:eastAsia="zh-CN"/>
              </w:rPr>
              <w:t>高月成</w:t>
            </w:r>
            <w:r>
              <w:rPr>
                <w:rFonts w:hint="eastAsia" w:ascii="宋体" w:hAnsi="宋体" w:eastAsia="宋体" w:cs="宋体"/>
                <w:sz w:val="21"/>
                <w:szCs w:val="21"/>
              </w:rPr>
              <w:t>2020.4.20等人</w:t>
            </w:r>
            <w:r>
              <w:rPr>
                <w:rFonts w:hint="eastAsia" w:ascii="宋体" w:hAnsi="宋体" w:eastAsia="宋体" w:cs="宋体"/>
                <w:sz w:val="21"/>
                <w:szCs w:val="21"/>
                <w:lang w:val="en-US" w:eastAsia="zh-CN"/>
              </w:rPr>
              <w:t>健康</w:t>
            </w:r>
            <w:r>
              <w:rPr>
                <w:rFonts w:hint="eastAsia" w:ascii="宋体" w:hAnsi="宋体" w:eastAsia="宋体" w:cs="宋体"/>
                <w:sz w:val="21"/>
                <w:szCs w:val="21"/>
              </w:rPr>
              <w:t>结果，未见异常，体检单位</w:t>
            </w:r>
            <w:r>
              <w:rPr>
                <w:rFonts w:hint="eastAsia" w:ascii="宋体" w:hAnsi="宋体" w:eastAsia="宋体" w:cs="宋体"/>
                <w:sz w:val="21"/>
                <w:szCs w:val="21"/>
                <w:lang w:eastAsia="zh-CN"/>
              </w:rPr>
              <w:t>：</w:t>
            </w:r>
            <w:r>
              <w:rPr>
                <w:rFonts w:hint="eastAsia" w:ascii="宋体" w:hAnsi="宋体" w:eastAsia="宋体" w:cs="宋体"/>
                <w:sz w:val="21"/>
                <w:szCs w:val="21"/>
              </w:rPr>
              <w:t>武功县体检中心。</w:t>
            </w:r>
          </w:p>
          <w:p>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未有上级主管部门的监督检查。</w:t>
            </w:r>
          </w:p>
          <w:p>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公司经营能遵守相关的法律法规，没有违反环境、职业健康安全法律法规现象，近期没有发生环境与职业健康安全的事故。</w:t>
            </w:r>
          </w:p>
          <w:p>
            <w:pPr>
              <w:pStyle w:val="2"/>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129155" cy="1343025"/>
                  <wp:effectExtent l="0" t="0" r="444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129155" cy="1343025"/>
                          </a:xfrm>
                          <a:prstGeom prst="rect">
                            <a:avLst/>
                          </a:prstGeom>
                          <a:noFill/>
                          <a:ln>
                            <a:noFill/>
                          </a:ln>
                        </pic:spPr>
                      </pic:pic>
                    </a:graphicData>
                  </a:graphic>
                </wp:inline>
              </w:drawing>
            </w:r>
            <w:r>
              <w:rPr>
                <w:rFonts w:hint="eastAsia" w:ascii="宋体" w:hAnsi="宋体" w:eastAsia="宋体" w:cs="宋体"/>
                <w:sz w:val="21"/>
                <w:szCs w:val="21"/>
              </w:rPr>
              <w:drawing>
                <wp:inline distT="0" distB="0" distL="114300" distR="114300">
                  <wp:extent cx="2245360" cy="1386840"/>
                  <wp:effectExtent l="0" t="0" r="2540" b="381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a:off x="0" y="0"/>
                            <a:ext cx="2245360" cy="1386840"/>
                          </a:xfrm>
                          <a:prstGeom prst="rect">
                            <a:avLst/>
                          </a:prstGeom>
                          <a:noFill/>
                          <a:ln>
                            <a:noFill/>
                          </a:ln>
                        </pic:spPr>
                      </pic:pic>
                    </a:graphicData>
                  </a:graphic>
                </wp:inline>
              </w:drawing>
            </w:r>
            <w:r>
              <w:rPr>
                <w:rFonts w:hint="eastAsia" w:ascii="宋体" w:hAnsi="宋体" w:eastAsia="宋体" w:cs="宋体"/>
                <w:sz w:val="21"/>
                <w:szCs w:val="21"/>
              </w:rPr>
              <w:drawing>
                <wp:inline distT="0" distB="0" distL="114300" distR="114300">
                  <wp:extent cx="2313940" cy="1434465"/>
                  <wp:effectExtent l="0" t="0" r="10160" b="1333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0"/>
                          <a:stretch>
                            <a:fillRect/>
                          </a:stretch>
                        </pic:blipFill>
                        <pic:spPr>
                          <a:xfrm>
                            <a:off x="0" y="0"/>
                            <a:ext cx="2313940" cy="1434465"/>
                          </a:xfrm>
                          <a:prstGeom prst="rect">
                            <a:avLst/>
                          </a:prstGeom>
                          <a:noFill/>
                          <a:ln>
                            <a:noFill/>
                          </a:ln>
                        </pic:spPr>
                      </pic:pic>
                    </a:graphicData>
                  </a:graphic>
                </wp:inline>
              </w:drawing>
            </w:r>
          </w:p>
        </w:tc>
        <w:tc>
          <w:tcPr>
            <w:tcW w:w="577" w:type="dxa"/>
          </w:tcPr>
          <w:p>
            <w:pP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合规义务、法律法规和其他要求</w:t>
            </w:r>
          </w:p>
        </w:tc>
        <w:tc>
          <w:tcPr>
            <w:tcW w:w="1164" w:type="dxa"/>
            <w:vAlign w:val="center"/>
          </w:tcPr>
          <w:p>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EO6.1.3 </w:t>
            </w:r>
          </w:p>
        </w:tc>
        <w:tc>
          <w:tcPr>
            <w:tcW w:w="11012" w:type="dxa"/>
            <w:vAlign w:val="center"/>
          </w:tcPr>
          <w:p>
            <w:pPr>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编制了《法律法规其它要求控制程序》，对法律法规的识别更新和应用进行规定，</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为主控部门。</w:t>
            </w:r>
          </w:p>
          <w:p>
            <w:pPr>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部门人员介绍：主要通过网络、报纸杂志电视等新闻媒体、购买、上级下发等多种形式收集本公司适用的法律法规。</w:t>
            </w:r>
          </w:p>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提供了适用的法律法规及其他要求合格性评价表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适用的法律法规及其他要求清单”，收集有《中华人民共和国环境保护法》、《中华人民共和国环境影响评价法》、《中华人民共和国水污染防治法》、《中华人民共和国妇女权益保障法》、《工伤保险条例》、《中华人民共和国职业病防治法》、《城市生活垃圾管理办法》、《住宅物业消防安全管理》、《物业管理条例》、《城市绿化条例》、《</w:t>
            </w:r>
            <w:r>
              <w:rPr>
                <w:rFonts w:hint="eastAsia" w:ascii="宋体" w:hAnsi="宋体" w:eastAsia="宋体" w:cs="宋体"/>
                <w:color w:val="auto"/>
                <w:sz w:val="21"/>
                <w:szCs w:val="21"/>
                <w:lang w:eastAsia="zh-CN"/>
              </w:rPr>
              <w:t>辽宁省</w:t>
            </w:r>
            <w:r>
              <w:rPr>
                <w:rFonts w:hint="eastAsia" w:ascii="宋体" w:hAnsi="宋体" w:eastAsia="宋体" w:cs="宋体"/>
                <w:color w:val="auto"/>
                <w:sz w:val="21"/>
                <w:szCs w:val="21"/>
              </w:rPr>
              <w:t>实施《中华人民共和国突发事件应对法》办法》、《</w:t>
            </w:r>
            <w:r>
              <w:rPr>
                <w:rFonts w:hint="eastAsia" w:ascii="宋体" w:hAnsi="宋体" w:eastAsia="宋体" w:cs="宋体"/>
                <w:color w:val="auto"/>
                <w:sz w:val="21"/>
                <w:szCs w:val="21"/>
                <w:lang w:eastAsia="zh-CN"/>
              </w:rPr>
              <w:t>辽宁省</w:t>
            </w:r>
            <w:r>
              <w:rPr>
                <w:rFonts w:hint="eastAsia" w:ascii="宋体" w:hAnsi="宋体" w:eastAsia="宋体" w:cs="宋体"/>
                <w:color w:val="auto"/>
                <w:sz w:val="21"/>
                <w:szCs w:val="21"/>
              </w:rPr>
              <w:t>实施《中华人民共和国突发事件应对法》办法》、《</w:t>
            </w:r>
            <w:r>
              <w:rPr>
                <w:rFonts w:hint="eastAsia" w:ascii="宋体" w:hAnsi="宋体" w:eastAsia="宋体" w:cs="宋体"/>
                <w:color w:val="auto"/>
                <w:sz w:val="21"/>
                <w:szCs w:val="21"/>
                <w:lang w:eastAsia="zh-CN"/>
              </w:rPr>
              <w:t>辽宁省</w:t>
            </w:r>
            <w:r>
              <w:rPr>
                <w:rFonts w:hint="eastAsia" w:ascii="宋体" w:hAnsi="宋体" w:eastAsia="宋体" w:cs="宋体"/>
                <w:color w:val="auto"/>
                <w:sz w:val="21"/>
                <w:szCs w:val="21"/>
              </w:rPr>
              <w:t>消防条例》等</w:t>
            </w:r>
            <w:r>
              <w:rPr>
                <w:rFonts w:hint="eastAsia" w:ascii="宋体" w:hAnsi="宋体" w:eastAsia="宋体" w:cs="宋体"/>
                <w:color w:val="auto"/>
                <w:sz w:val="21"/>
                <w:szCs w:val="21"/>
                <w:lang w:val="en-US" w:eastAsia="zh-CN"/>
              </w:rPr>
              <w:t>58</w:t>
            </w:r>
            <w:r>
              <w:rPr>
                <w:rFonts w:hint="eastAsia" w:ascii="宋体" w:hAnsi="宋体" w:eastAsia="宋体" w:cs="宋体"/>
                <w:color w:val="auto"/>
                <w:sz w:val="21"/>
                <w:szCs w:val="21"/>
              </w:rPr>
              <w:t>个，编制：</w:t>
            </w:r>
            <w:r>
              <w:rPr>
                <w:rFonts w:hint="eastAsia" w:ascii="宋体" w:hAnsi="宋体" w:cs="宋体"/>
                <w:color w:val="auto"/>
                <w:sz w:val="21"/>
                <w:szCs w:val="21"/>
                <w:lang w:eastAsia="zh-CN"/>
              </w:rPr>
              <w:t>闫欣欣</w:t>
            </w:r>
            <w:r>
              <w:rPr>
                <w:rFonts w:hint="eastAsia" w:ascii="宋体" w:hAnsi="宋体" w:eastAsia="宋体" w:cs="宋体"/>
                <w:color w:val="auto"/>
                <w:sz w:val="21"/>
                <w:szCs w:val="21"/>
              </w:rPr>
              <w:t xml:space="preserve"> 2021.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.10日，审批：</w:t>
            </w:r>
            <w:r>
              <w:rPr>
                <w:rFonts w:hint="eastAsia" w:ascii="宋体" w:hAnsi="宋体" w:cs="宋体"/>
                <w:color w:val="auto"/>
                <w:sz w:val="21"/>
                <w:szCs w:val="21"/>
                <w:lang w:eastAsia="zh-CN"/>
              </w:rPr>
              <w:t>李晓玲</w:t>
            </w:r>
            <w:r>
              <w:rPr>
                <w:rFonts w:hint="eastAsia" w:ascii="宋体" w:hAnsi="宋体" w:eastAsia="宋体" w:cs="宋体"/>
                <w:color w:val="auto"/>
                <w:sz w:val="21"/>
                <w:szCs w:val="21"/>
              </w:rPr>
              <w:t>2021.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.10日。</w:t>
            </w:r>
          </w:p>
          <w:p>
            <w:pPr>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已识别法律法规及其它要求的适用条款，并与环境因素、危险源进行了对应。</w:t>
            </w:r>
          </w:p>
          <w:p>
            <w:pPr>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公司法律、法规及其它要求都有现行文本，大部分为电子版本。</w:t>
            </w:r>
          </w:p>
          <w:p>
            <w:pPr>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各部门如有需要到</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查阅。</w:t>
            </w:r>
          </w:p>
          <w:p>
            <w:pPr>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公司通过培训、会议等方式向有关员工传达法律、法规及其它要求的相关要求。</w:t>
            </w:r>
          </w:p>
        </w:tc>
        <w:tc>
          <w:tcPr>
            <w:tcW w:w="577" w:type="dxa"/>
          </w:tcPr>
          <w:p>
            <w:pP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合规性评价</w:t>
            </w:r>
          </w:p>
        </w:tc>
        <w:tc>
          <w:tcPr>
            <w:tcW w:w="1164" w:type="dxa"/>
          </w:tcPr>
          <w:p>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EO9.1.2 </w:t>
            </w:r>
          </w:p>
        </w:tc>
        <w:tc>
          <w:tcPr>
            <w:tcW w:w="11012" w:type="dxa"/>
            <w:vAlign w:val="center"/>
          </w:tcPr>
          <w:p>
            <w:pPr>
              <w:snapToGrid w:val="0"/>
              <w:spacing w:line="360" w:lineRule="auto"/>
              <w:ind w:right="392"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编制了《合规性评价</w:t>
            </w:r>
            <w:r>
              <w:rPr>
                <w:rFonts w:hint="eastAsia" w:ascii="宋体" w:hAnsi="宋体" w:eastAsia="宋体" w:cs="宋体"/>
                <w:color w:val="auto"/>
                <w:sz w:val="21"/>
                <w:szCs w:val="21"/>
                <w:lang w:val="en-US" w:eastAsia="zh-CN"/>
              </w:rPr>
              <w:t>控制</w:t>
            </w:r>
            <w:r>
              <w:rPr>
                <w:rFonts w:hint="eastAsia" w:ascii="宋体" w:hAnsi="宋体" w:eastAsia="宋体" w:cs="宋体"/>
                <w:color w:val="auto"/>
                <w:sz w:val="21"/>
                <w:szCs w:val="21"/>
              </w:rPr>
              <w:t>程序》，其中规定了对本公司法规及其他要求的合规性评价的要求。</w:t>
            </w:r>
          </w:p>
          <w:p>
            <w:pPr>
              <w:snapToGrid w:val="0"/>
              <w:spacing w:line="360" w:lineRule="auto"/>
              <w:ind w:right="392"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提供了2021.6.2</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日的“合规性评价记录”、“合规性评价报告”，</w:t>
            </w:r>
            <w:r>
              <w:rPr>
                <w:rFonts w:hint="eastAsia" w:ascii="宋体" w:hAnsi="宋体" w:cs="宋体"/>
                <w:color w:val="auto"/>
                <w:sz w:val="21"/>
                <w:szCs w:val="21"/>
                <w:lang w:eastAsia="zh-CN"/>
              </w:rPr>
              <w:t>李晓玲</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邱晓媛</w:t>
            </w:r>
            <w:r>
              <w:rPr>
                <w:rFonts w:hint="eastAsia" w:ascii="宋体" w:hAnsi="宋体" w:eastAsia="宋体" w:cs="宋体"/>
                <w:color w:val="auto"/>
                <w:sz w:val="21"/>
                <w:szCs w:val="21"/>
              </w:rPr>
              <w:t>、</w:t>
            </w:r>
            <w:r>
              <w:rPr>
                <w:rFonts w:hint="eastAsia" w:ascii="宋体" w:hAnsi="宋体" w:cs="宋体"/>
                <w:color w:val="auto"/>
                <w:sz w:val="21"/>
                <w:szCs w:val="21"/>
                <w:lang w:eastAsia="zh-CN"/>
              </w:rPr>
              <w:t>闫欣欣</w:t>
            </w:r>
            <w:r>
              <w:rPr>
                <w:rFonts w:hint="eastAsia" w:ascii="宋体" w:hAnsi="宋体" w:eastAsia="宋体" w:cs="宋体"/>
                <w:color w:val="auto"/>
                <w:sz w:val="21"/>
                <w:szCs w:val="21"/>
              </w:rPr>
              <w:t>、对收集的法规进行了评价，合规性评价：公司的环境和职业健康安全管理体系运行以来，未发生环境污染、职业健康安全事件，也没受到相关方的投诉等情况。公司环境、职业健康安全管理体系运行基本符合相关法律法规的要求。</w:t>
            </w:r>
          </w:p>
          <w:p>
            <w:pPr>
              <w:snapToGrid w:val="0"/>
              <w:spacing w:before="156" w:beforeLines="50" w:after="156" w:afterLines="50"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部门已对有关法规及其他要求进行识别、评价，满足要求。</w:t>
            </w:r>
          </w:p>
        </w:tc>
        <w:tc>
          <w:tcPr>
            <w:tcW w:w="577" w:type="dxa"/>
          </w:tcPr>
          <w:p>
            <w:pP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tcPr>
          <w:p>
            <w:pPr>
              <w:spacing w:line="360" w:lineRule="auto"/>
              <w:rPr>
                <w:rFonts w:hint="eastAsia" w:ascii="宋体" w:hAnsi="宋体" w:eastAsia="宋体" w:cs="宋体"/>
                <w:color w:val="FF0000"/>
                <w:sz w:val="21"/>
                <w:szCs w:val="21"/>
              </w:rPr>
            </w:pPr>
            <w:r>
              <w:rPr>
                <w:rFonts w:hint="eastAsia" w:ascii="宋体" w:hAnsi="宋体" w:eastAsia="宋体" w:cs="宋体"/>
                <w:color w:val="auto"/>
                <w:sz w:val="21"/>
                <w:szCs w:val="21"/>
                <w:lang w:bidi="ar"/>
              </w:rPr>
              <w:t>监视、测量、分析和评价</w:t>
            </w:r>
          </w:p>
        </w:tc>
        <w:tc>
          <w:tcPr>
            <w:tcW w:w="1164" w:type="dxa"/>
          </w:tcPr>
          <w:p>
            <w:pPr>
              <w:pStyle w:val="4"/>
              <w:ind w:left="0"/>
              <w:rPr>
                <w:rFonts w:hint="eastAsia" w:ascii="宋体" w:hAnsi="宋体" w:eastAsia="宋体" w:cs="宋体"/>
                <w:color w:val="auto"/>
                <w:sz w:val="21"/>
                <w:szCs w:val="21"/>
              </w:rPr>
            </w:pPr>
          </w:p>
          <w:p>
            <w:pPr>
              <w:pStyle w:val="4"/>
              <w:ind w:left="0"/>
              <w:rPr>
                <w:rFonts w:hint="eastAsia" w:ascii="宋体" w:hAnsi="宋体" w:eastAsia="宋体" w:cs="宋体"/>
                <w:color w:val="auto"/>
                <w:sz w:val="21"/>
                <w:szCs w:val="21"/>
              </w:rPr>
            </w:pPr>
          </w:p>
          <w:p>
            <w:pPr>
              <w:pStyle w:val="4"/>
              <w:ind w:left="0"/>
              <w:rPr>
                <w:rFonts w:hint="eastAsia" w:ascii="宋体" w:hAnsi="宋体" w:eastAsia="宋体" w:cs="宋体"/>
                <w:color w:val="auto"/>
                <w:sz w:val="21"/>
                <w:szCs w:val="21"/>
              </w:rPr>
            </w:pPr>
          </w:p>
          <w:p>
            <w:pPr>
              <w:pStyle w:val="4"/>
              <w:ind w:left="0"/>
              <w:rPr>
                <w:rFonts w:hint="eastAsia" w:ascii="宋体" w:hAnsi="宋体" w:eastAsia="宋体" w:cs="宋体"/>
                <w:color w:val="auto"/>
                <w:sz w:val="21"/>
                <w:szCs w:val="21"/>
              </w:rPr>
            </w:pPr>
          </w:p>
          <w:p>
            <w:pPr>
              <w:pStyle w:val="4"/>
              <w:ind w:left="0"/>
              <w:rPr>
                <w:rFonts w:hint="eastAsia" w:ascii="宋体" w:hAnsi="宋体" w:eastAsia="宋体" w:cs="宋体"/>
                <w:color w:val="auto"/>
                <w:sz w:val="21"/>
                <w:szCs w:val="21"/>
              </w:rPr>
            </w:pPr>
          </w:p>
          <w:p>
            <w:pPr>
              <w:pStyle w:val="4"/>
              <w:ind w:left="0"/>
              <w:rPr>
                <w:rFonts w:hint="eastAsia" w:ascii="宋体" w:hAnsi="宋体" w:eastAsia="宋体" w:cs="宋体"/>
                <w:color w:val="auto"/>
                <w:sz w:val="21"/>
                <w:szCs w:val="21"/>
              </w:rPr>
            </w:pPr>
          </w:p>
          <w:p>
            <w:pPr>
              <w:pStyle w:val="4"/>
              <w:ind w:left="0"/>
              <w:rPr>
                <w:rFonts w:hint="eastAsia" w:ascii="宋体" w:hAnsi="宋体" w:eastAsia="宋体" w:cs="宋体"/>
                <w:color w:val="auto"/>
                <w:sz w:val="21"/>
                <w:szCs w:val="21"/>
              </w:rPr>
            </w:pPr>
          </w:p>
          <w:p>
            <w:pPr>
              <w:pStyle w:val="4"/>
              <w:ind w:left="0"/>
              <w:rPr>
                <w:rFonts w:hint="eastAsia" w:ascii="宋体" w:hAnsi="宋体" w:eastAsia="宋体" w:cs="宋体"/>
                <w:color w:val="auto"/>
                <w:sz w:val="21"/>
                <w:szCs w:val="21"/>
              </w:rPr>
            </w:pPr>
            <w:r>
              <w:rPr>
                <w:rFonts w:hint="eastAsia" w:ascii="宋体" w:hAnsi="宋体" w:eastAsia="宋体" w:cs="宋体"/>
                <w:color w:val="auto"/>
                <w:spacing w:val="-6"/>
                <w:sz w:val="21"/>
                <w:szCs w:val="21"/>
              </w:rPr>
              <w:t>Q：9.1.1</w:t>
            </w:r>
            <w:r>
              <w:rPr>
                <w:rFonts w:hint="eastAsia" w:ascii="宋体" w:hAnsi="宋体" w:eastAsia="宋体" w:cs="宋体"/>
                <w:color w:val="auto"/>
                <w:sz w:val="21"/>
                <w:szCs w:val="21"/>
              </w:rPr>
              <w:t>、Q：9.1.3</w:t>
            </w:r>
          </w:p>
        </w:tc>
        <w:tc>
          <w:tcPr>
            <w:tcW w:w="11012" w:type="dxa"/>
          </w:tcPr>
          <w:p>
            <w:pPr>
              <w:autoSpaceDE w:val="0"/>
              <w:autoSpaceDN w:val="0"/>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公司编制了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质量监测分析评价程序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《环境、职业健康安全绩效测量控制程序》，公司规定了管理体系相关信息的收集、汇总、分析、处理、传递的要求。</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组织各部门策划和实施必要的监视和测量活动，确保产品、体系和过程的符合性，以持续改进质量管理体系的有效性。公司的过程和体系的监视和测量主要是通过内审、管理评审、目标考核以及日常工作监督、顾客满意度测量等的方式完成。</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提供了</w:t>
            </w:r>
            <w:r>
              <w:rPr>
                <w:rFonts w:hint="eastAsia" w:ascii="宋体" w:hAnsi="宋体" w:eastAsia="宋体" w:cs="宋体"/>
                <w:color w:val="auto"/>
                <w:sz w:val="21"/>
                <w:szCs w:val="21"/>
                <w:lang w:eastAsia="zh-CN"/>
              </w:rPr>
              <w:t>前进市场</w:t>
            </w:r>
            <w:r>
              <w:rPr>
                <w:rFonts w:hint="eastAsia" w:ascii="宋体" w:hAnsi="宋体" w:eastAsia="宋体" w:cs="宋体"/>
                <w:color w:val="auto"/>
                <w:sz w:val="21"/>
                <w:szCs w:val="21"/>
              </w:rPr>
              <w:t>2021年</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月份巡查记录，按月份装订，抽查</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抽</w:t>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4月份公共区域巡查</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巡查人：</w:t>
            </w:r>
            <w:r>
              <w:rPr>
                <w:rFonts w:hint="eastAsia" w:ascii="宋体" w:hAnsi="宋体" w:cs="宋体"/>
                <w:color w:val="auto"/>
                <w:sz w:val="21"/>
                <w:szCs w:val="21"/>
                <w:lang w:val="en-US" w:eastAsia="zh-CN"/>
              </w:rPr>
              <w:t>闫欣欣</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赵立新</w:t>
            </w:r>
            <w:r>
              <w:rPr>
                <w:rFonts w:hint="eastAsia" w:ascii="宋体" w:hAnsi="宋体" w:eastAsia="宋体" w:cs="宋体"/>
                <w:color w:val="auto"/>
                <w:sz w:val="21"/>
                <w:szCs w:val="21"/>
              </w:rPr>
              <w:t>：</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检查内容：对</w:t>
            </w:r>
            <w:r>
              <w:rPr>
                <w:rFonts w:hint="eastAsia" w:ascii="宋体" w:hAnsi="宋体" w:eastAsia="宋体" w:cs="宋体"/>
                <w:color w:val="auto"/>
                <w:sz w:val="21"/>
                <w:szCs w:val="21"/>
                <w:lang w:val="en-US" w:eastAsia="zh-CN"/>
              </w:rPr>
              <w:t>办公区域对</w:t>
            </w:r>
            <w:r>
              <w:rPr>
                <w:rFonts w:hint="eastAsia" w:ascii="宋体" w:hAnsi="宋体" w:eastAsia="宋体" w:cs="宋体"/>
                <w:color w:val="auto"/>
                <w:sz w:val="21"/>
                <w:szCs w:val="21"/>
              </w:rPr>
              <w:t>讲门、消防设施、卫生状况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未见异常。</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抽</w:t>
            </w:r>
            <w:r>
              <w:rPr>
                <w:rFonts w:hint="eastAsia" w:ascii="宋体" w:hAnsi="宋体" w:eastAsia="宋体" w:cs="宋体"/>
                <w:color w:val="auto"/>
                <w:sz w:val="21"/>
                <w:szCs w:val="21"/>
              </w:rPr>
              <w:t>2021年</w:t>
            </w:r>
            <w:r>
              <w:rPr>
                <w:rFonts w:hint="eastAsia" w:ascii="宋体" w:hAnsi="宋体" w:eastAsia="宋体" w:cs="宋体"/>
                <w:color w:val="auto"/>
                <w:sz w:val="21"/>
                <w:szCs w:val="21"/>
                <w:lang w:val="en-US" w:eastAsia="zh-CN"/>
              </w:rPr>
              <w:t>8-10</w:t>
            </w:r>
            <w:r>
              <w:rPr>
                <w:rFonts w:hint="eastAsia" w:ascii="宋体" w:hAnsi="宋体" w:eastAsia="宋体" w:cs="宋体"/>
                <w:color w:val="auto"/>
                <w:sz w:val="21"/>
                <w:szCs w:val="21"/>
              </w:rPr>
              <w:t>月份公共区域巡查表（</w:t>
            </w:r>
            <w:r>
              <w:rPr>
                <w:rFonts w:hint="eastAsia" w:ascii="宋体" w:hAnsi="宋体" w:eastAsia="宋体" w:cs="宋体"/>
                <w:color w:val="auto"/>
                <w:sz w:val="21"/>
                <w:szCs w:val="21"/>
                <w:lang w:val="en-US" w:eastAsia="zh-CN"/>
              </w:rPr>
              <w:t>办公楼、前进市场</w:t>
            </w:r>
            <w:r>
              <w:rPr>
                <w:rFonts w:hint="eastAsia" w:ascii="宋体" w:hAnsi="宋体" w:eastAsia="宋体" w:cs="宋体"/>
                <w:color w:val="auto"/>
                <w:sz w:val="21"/>
                <w:szCs w:val="21"/>
              </w:rPr>
              <w:t>）巡查人：</w:t>
            </w:r>
            <w:r>
              <w:rPr>
                <w:rFonts w:hint="eastAsia" w:ascii="宋体" w:hAnsi="宋体" w:cs="宋体"/>
                <w:color w:val="auto"/>
                <w:sz w:val="21"/>
                <w:szCs w:val="21"/>
                <w:lang w:val="en-US" w:eastAsia="zh-CN"/>
              </w:rPr>
              <w:t>闫欣欣</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赵立新</w:t>
            </w:r>
            <w:r>
              <w:rPr>
                <w:rFonts w:hint="eastAsia" w:ascii="宋体" w:hAnsi="宋体" w:eastAsia="宋体" w:cs="宋体"/>
                <w:color w:val="auto"/>
                <w:sz w:val="21"/>
                <w:szCs w:val="21"/>
              </w:rPr>
              <w:t>：</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检查内容：对讲门、消防设施、电梯、</w:t>
            </w:r>
            <w:r>
              <w:rPr>
                <w:rFonts w:hint="eastAsia" w:ascii="宋体" w:hAnsi="宋体" w:eastAsia="宋体" w:cs="宋体"/>
                <w:color w:val="auto"/>
                <w:sz w:val="21"/>
                <w:szCs w:val="21"/>
                <w:lang w:val="en-US" w:eastAsia="zh-CN"/>
              </w:rPr>
              <w:t>牌匾悬挂</w:t>
            </w:r>
            <w:r>
              <w:rPr>
                <w:rFonts w:hint="eastAsia" w:ascii="宋体" w:hAnsi="宋体" w:eastAsia="宋体" w:cs="宋体"/>
                <w:color w:val="auto"/>
                <w:sz w:val="21"/>
                <w:szCs w:val="21"/>
              </w:rPr>
              <w:t>、卫生状况。对出现的</w:t>
            </w:r>
            <w:r>
              <w:rPr>
                <w:rFonts w:hint="eastAsia" w:ascii="宋体" w:hAnsi="宋体" w:eastAsia="宋体" w:cs="宋体"/>
                <w:color w:val="auto"/>
                <w:sz w:val="21"/>
                <w:szCs w:val="21"/>
                <w:lang w:val="en-US" w:eastAsia="zh-CN"/>
              </w:rPr>
              <w:t>未及时清理的</w:t>
            </w:r>
            <w:r>
              <w:rPr>
                <w:rFonts w:hint="eastAsia" w:ascii="宋体" w:hAnsi="宋体" w:eastAsia="宋体" w:cs="宋体"/>
                <w:color w:val="auto"/>
                <w:sz w:val="21"/>
                <w:szCs w:val="21"/>
              </w:rPr>
              <w:t>垃圾进行清理，其他未见异常。</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3/4</w:t>
            </w:r>
            <w:r>
              <w:rPr>
                <w:rFonts w:hint="eastAsia" w:ascii="宋体" w:hAnsi="宋体" w:eastAsia="宋体" w:cs="宋体"/>
                <w:color w:val="auto"/>
                <w:sz w:val="21"/>
                <w:szCs w:val="21"/>
              </w:rPr>
              <w:t>月份公共</w:t>
            </w:r>
            <w:r>
              <w:rPr>
                <w:rFonts w:hint="eastAsia" w:ascii="宋体" w:hAnsi="宋体" w:eastAsia="宋体" w:cs="宋体"/>
                <w:color w:val="auto"/>
                <w:sz w:val="21"/>
                <w:szCs w:val="21"/>
                <w:lang w:val="en-US" w:eastAsia="zh-CN"/>
              </w:rPr>
              <w:t>办公</w:t>
            </w:r>
            <w:r>
              <w:rPr>
                <w:rFonts w:hint="eastAsia" w:ascii="宋体" w:hAnsi="宋体" w:eastAsia="宋体" w:cs="宋体"/>
                <w:color w:val="auto"/>
                <w:sz w:val="21"/>
                <w:szCs w:val="21"/>
              </w:rPr>
              <w:t>区域巡查表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巡查人：</w:t>
            </w:r>
            <w:r>
              <w:rPr>
                <w:rFonts w:hint="eastAsia" w:ascii="宋体" w:hAnsi="宋体" w:cs="宋体"/>
                <w:color w:val="auto"/>
                <w:sz w:val="21"/>
                <w:szCs w:val="21"/>
                <w:lang w:val="en-US" w:eastAsia="zh-CN"/>
              </w:rPr>
              <w:t>闫欣欣</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高占福</w:t>
            </w:r>
            <w:r>
              <w:rPr>
                <w:rFonts w:hint="eastAsia" w:ascii="宋体" w:hAnsi="宋体" w:eastAsia="宋体" w:cs="宋体"/>
                <w:color w:val="auto"/>
                <w:sz w:val="21"/>
                <w:szCs w:val="21"/>
              </w:rPr>
              <w:t>：</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检查内容：对讲门、消防设施、卫生状况。对垃圾</w:t>
            </w:r>
            <w:r>
              <w:rPr>
                <w:rFonts w:hint="eastAsia" w:ascii="宋体" w:hAnsi="宋体" w:eastAsia="宋体" w:cs="宋体"/>
                <w:color w:val="auto"/>
                <w:sz w:val="21"/>
                <w:szCs w:val="21"/>
                <w:lang w:val="en-US" w:eastAsia="zh-CN"/>
              </w:rPr>
              <w:t>未及时</w:t>
            </w:r>
            <w:r>
              <w:rPr>
                <w:rFonts w:hint="eastAsia" w:ascii="宋体" w:hAnsi="宋体" w:eastAsia="宋体" w:cs="宋体"/>
                <w:color w:val="auto"/>
                <w:sz w:val="21"/>
                <w:szCs w:val="21"/>
              </w:rPr>
              <w:t>进行清理，其他未见异常。</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负责对体系、过程的日常监测和质量目标完成情况进行统计分析。对目标完成情况进行收集和统计分析，并制作目标完成情况统计表。</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项目管理部负责对供方业绩予以评价，对供方业绩实施了监视和测量，并对检测过程的监视和测量活动进行了策划和实施，对顾客满意度进行了定期评价和分析。</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日常通过对市场信息、目标完成情况及适宜性、物业管理人员绩效考核、顾客满意度测量及反馈等作为分析评价的输入，并根据输出情况及时采取了相应措施并改进，公司针对其他信息，进行了随时利用，但并保持相关记录，公司已建立了信息收集的渠道，并实施。</w:t>
            </w:r>
          </w:p>
          <w:p>
            <w:pPr>
              <w:tabs>
                <w:tab w:val="center" w:pos="3169"/>
              </w:tabs>
              <w:spacing w:line="40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rPr>
              <w:t>公司已对管理体系的监视、测量、分析和评价进行了策划，基本能够按照要求实施。</w:t>
            </w:r>
          </w:p>
        </w:tc>
        <w:tc>
          <w:tcPr>
            <w:tcW w:w="577" w:type="dxa"/>
          </w:tcPr>
          <w:p>
            <w:pP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956"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内部审核</w:t>
            </w:r>
          </w:p>
        </w:tc>
        <w:tc>
          <w:tcPr>
            <w:tcW w:w="1164"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QEO：9.2</w:t>
            </w:r>
          </w:p>
          <w:p>
            <w:pPr>
              <w:rPr>
                <w:rFonts w:hint="eastAsia" w:ascii="宋体" w:hAnsi="宋体" w:eastAsia="宋体" w:cs="宋体"/>
                <w:color w:val="auto"/>
                <w:sz w:val="21"/>
                <w:szCs w:val="21"/>
              </w:rPr>
            </w:pPr>
          </w:p>
        </w:tc>
        <w:tc>
          <w:tcPr>
            <w:tcW w:w="11012" w:type="dxa"/>
            <w:vAlign w:val="center"/>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公司制定《内部审核控制程序》，对内部审核方案策划规定：内审每年进行一次，按部门/过程审核。</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管代介绍内审的安排和做法，与程序文件《内部审核控制程序》相符。</w:t>
            </w:r>
          </w:p>
          <w:p>
            <w:pPr>
              <w:tabs>
                <w:tab w:val="left" w:pos="2490"/>
              </w:tabs>
              <w:spacing w:line="360" w:lineRule="auto"/>
              <w:ind w:right="-328" w:rightChars="-156"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查最近一次内审记录：2021.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进行，审核组组长：</w:t>
            </w:r>
            <w:r>
              <w:rPr>
                <w:rFonts w:hint="eastAsia" w:ascii="宋体" w:hAnsi="宋体" w:cs="宋体"/>
                <w:color w:val="auto"/>
                <w:sz w:val="21"/>
                <w:szCs w:val="21"/>
                <w:lang w:val="en-US" w:eastAsia="zh-CN"/>
              </w:rPr>
              <w:t>李晓玲</w:t>
            </w:r>
            <w:r>
              <w:rPr>
                <w:rFonts w:hint="eastAsia" w:ascii="宋体" w:hAnsi="宋体" w:eastAsia="宋体" w:cs="宋体"/>
                <w:color w:val="auto"/>
                <w:sz w:val="21"/>
                <w:szCs w:val="21"/>
              </w:rPr>
              <w:t>，审核组成员：</w:t>
            </w:r>
            <w:r>
              <w:rPr>
                <w:rFonts w:hint="eastAsia" w:ascii="宋体" w:hAnsi="宋体" w:cs="宋体"/>
                <w:color w:val="auto"/>
                <w:sz w:val="21"/>
                <w:szCs w:val="21"/>
                <w:lang w:val="en-US" w:eastAsia="zh-CN"/>
              </w:rPr>
              <w:t>闫欣欣</w:t>
            </w:r>
            <w:r>
              <w:rPr>
                <w:rFonts w:hint="eastAsia" w:ascii="宋体" w:hAnsi="宋体" w:eastAsia="宋体" w:cs="宋体"/>
                <w:color w:val="auto"/>
                <w:sz w:val="21"/>
                <w:szCs w:val="21"/>
              </w:rPr>
              <w:t>，经过培训，并经总经理任命。</w:t>
            </w:r>
          </w:p>
          <w:p>
            <w:pPr>
              <w:tabs>
                <w:tab w:val="left" w:pos="2490"/>
              </w:tabs>
              <w:spacing w:line="360" w:lineRule="auto"/>
              <w:ind w:right="-328" w:rightChars="-156"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查内审计划，涉及了所有部门及相关过程。计划编制合理，无漏条款现象。</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查审核记录，符合计划安排，审核内容基本符合规定。审核员没有审核自己部门工作，具有独立性。</w:t>
            </w:r>
          </w:p>
          <w:p>
            <w:pPr>
              <w:spacing w:before="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审核活动共提出1个不符合项：</w:t>
            </w:r>
            <w:r>
              <w:rPr>
                <w:rFonts w:hint="eastAsia" w:ascii="宋体" w:hAnsi="宋体" w:eastAsia="宋体" w:cs="宋体"/>
                <w:color w:val="auto"/>
                <w:sz w:val="21"/>
                <w:szCs w:val="21"/>
                <w:lang w:val="en-US" w:eastAsia="zh-CN"/>
              </w:rPr>
              <w:t>不符合Q6.1.E6.1.3 O6.1.3</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查不符合项报告，不符合项报告事实描述清楚，原因分析</w:t>
            </w:r>
            <w:r>
              <w:rPr>
                <w:rFonts w:hint="eastAsia" w:ascii="宋体" w:hAnsi="宋体" w:eastAsia="宋体" w:cs="宋体"/>
                <w:color w:val="auto"/>
                <w:sz w:val="21"/>
                <w:szCs w:val="21"/>
                <w:lang w:val="en-US" w:eastAsia="zh-CN"/>
              </w:rPr>
              <w:t>基本</w:t>
            </w:r>
            <w:r>
              <w:rPr>
                <w:rFonts w:hint="eastAsia" w:ascii="宋体" w:hAnsi="宋体" w:eastAsia="宋体" w:cs="宋体"/>
                <w:color w:val="auto"/>
                <w:sz w:val="21"/>
                <w:szCs w:val="21"/>
              </w:rPr>
              <w:t>到位，纠正措施及其验证合理。不符合项验证关闭。</w:t>
            </w:r>
          </w:p>
          <w:p>
            <w:pPr>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内审报告：对体系文件和对体系的运作的符合性和有效性进行了评价，结论为：我公司编制的管理手册、程序文件和第三层次文件基本符合GB/T19001-2016、GB/T24001-2016、GB/T45001-2020的标准要求，并能结合本公司的实际情况，体系文件可以指导全公司管理体系的正常运行。</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公司的质量、环境和职业健康安全管理体系符合标准和管理要求，公司质量、环境、职业健康安全管理体系运行有效并保持。    </w:t>
            </w:r>
          </w:p>
        </w:tc>
        <w:tc>
          <w:tcPr>
            <w:tcW w:w="577" w:type="dxa"/>
          </w:tcPr>
          <w:p>
            <w:pP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56" w:type="dxa"/>
            <w:vAlign w:val="center"/>
          </w:tcPr>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不合格和纠正措施</w:t>
            </w:r>
          </w:p>
        </w:tc>
        <w:tc>
          <w:tcPr>
            <w:tcW w:w="1164" w:type="dxa"/>
            <w:vAlign w:val="center"/>
          </w:tcPr>
          <w:p>
            <w:pPr>
              <w:spacing w:line="360" w:lineRule="auto"/>
              <w:jc w:val="center"/>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QEO：10.2</w:t>
            </w:r>
          </w:p>
          <w:p>
            <w:pPr>
              <w:spacing w:line="360" w:lineRule="auto"/>
              <w:jc w:val="center"/>
              <w:rPr>
                <w:rFonts w:hint="eastAsia" w:ascii="宋体" w:hAnsi="宋体" w:eastAsia="宋体" w:cs="宋体"/>
                <w:color w:val="auto"/>
                <w:spacing w:val="-6"/>
                <w:sz w:val="21"/>
                <w:szCs w:val="21"/>
              </w:rPr>
            </w:pPr>
          </w:p>
        </w:tc>
        <w:tc>
          <w:tcPr>
            <w:tcW w:w="11012" w:type="dxa"/>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实施《不符合、纠正预防措施控制程序</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》、《环境、职业健康安全绩效测量控制程序》、《事件调查处理控制程序》，对纠正预防措施识别、评审、验证，事故事件报告、调查、处理等作了规定，其内容符合组织实际及标准要求。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查纠正措施实施情况：</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对内审中提出不合格项进行了原因分析,并制定、实施了纠正措施，并由内审员对所采取的纠正措施进行了验证，纠正措施有效，管理评审中发现的薄弱环节，分析了原因，采取了纠正措施。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pPr>
              <w:tabs>
                <w:tab w:val="left" w:pos="6597"/>
              </w:tabs>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企业纠正和预防措施的管理符合标准规定要求。</w:t>
            </w:r>
          </w:p>
        </w:tc>
        <w:tc>
          <w:tcPr>
            <w:tcW w:w="577" w:type="dxa"/>
          </w:tcPr>
          <w:p>
            <w:pPr>
              <w:rPr>
                <w:rFonts w:hint="eastAsia" w:ascii="宋体" w:hAnsi="宋体" w:eastAsia="宋体" w:cs="宋体"/>
                <w:color w:val="auto"/>
                <w:sz w:val="21"/>
                <w:szCs w:val="21"/>
              </w:rPr>
            </w:pPr>
          </w:p>
        </w:tc>
      </w:tr>
    </w:tbl>
    <w:p>
      <w:pPr>
        <w:rPr>
          <w:rFonts w:ascii="楷体" w:hAnsi="楷体" w:eastAsia="楷体" w:cs="宋体"/>
          <w:color w:val="auto"/>
          <w:sz w:val="24"/>
          <w:szCs w:val="24"/>
        </w:rPr>
      </w:pPr>
    </w:p>
    <w:p>
      <w:pPr>
        <w:pStyle w:val="10"/>
        <w:rPr>
          <w:rFonts w:ascii="楷体" w:hAnsi="楷体" w:eastAsia="楷体"/>
          <w:sz w:val="24"/>
          <w:szCs w:val="24"/>
        </w:rPr>
      </w:pPr>
      <w:r>
        <w:rPr>
          <w:rFonts w:hint="eastAsia" w:ascii="楷体" w:hAnsi="楷体" w:eastAsia="楷体" w:cs="宋体"/>
          <w:color w:val="auto"/>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4" o:spid="_x0000_s3074"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11"/>
      <w:pBdr>
        <w:bottom w:val="none" w:color="auto" w:sz="0" w:space="0"/>
      </w:pBdr>
      <w:spacing w:line="320" w:lineRule="exact"/>
      <w:ind w:firstLine="756" w:firstLineChars="400"/>
      <w:jc w:val="left"/>
    </w:pPr>
    <w:r>
      <w:rPr>
        <w:rStyle w:val="21"/>
        <w:rFonts w:hint="default"/>
        <w:w w:val="90"/>
      </w:rPr>
      <w:t>Beijing International Standard united Certification Co.,Ltd.</w:t>
    </w:r>
  </w:p>
  <w:p>
    <w:pPr>
      <w:pStyle w:val="11"/>
      <w:pBdr>
        <w:bottom w:val="none" w:color="auto" w:sz="0" w:space="0"/>
      </w:pBdr>
      <w:tabs>
        <w:tab w:val="left" w:pos="8910"/>
        <w:tab w:val="left" w:pos="9142"/>
        <w:tab w:val="clear" w:pos="4153"/>
      </w:tabs>
      <w:spacing w:line="320" w:lineRule="exact"/>
      <w:ind w:left="-86" w:leftChars="-41" w:firstLine="945" w:firstLineChars="450"/>
      <w:jc w:val="left"/>
    </w:pPr>
    <w:r>
      <w:rPr>
        <w:rStyle w:val="21"/>
        <w:rFonts w:hint="default"/>
      </w:rPr>
      <w:tab/>
    </w:r>
    <w:r>
      <w:rPr>
        <w:rStyle w:val="2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none"/>
      <w:pStyle w:val="22"/>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AE87A1D"/>
    <w:multiLevelType w:val="multilevel"/>
    <w:tmpl w:val="7AE87A1D"/>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UwNDU2ZjRmZWE5MTlkODUwOTg4ZWRhNWUwYjBhMTMifQ=="/>
  </w:docVars>
  <w:rsids>
    <w:rsidRoot w:val="009973B4"/>
    <w:rsid w:val="000237F6"/>
    <w:rsid w:val="00023B43"/>
    <w:rsid w:val="00031CE7"/>
    <w:rsid w:val="0003373A"/>
    <w:rsid w:val="000442A1"/>
    <w:rsid w:val="00044952"/>
    <w:rsid w:val="00044DAF"/>
    <w:rsid w:val="000459C0"/>
    <w:rsid w:val="00057D50"/>
    <w:rsid w:val="00062DB9"/>
    <w:rsid w:val="00066D35"/>
    <w:rsid w:val="000956BC"/>
    <w:rsid w:val="000B1FA2"/>
    <w:rsid w:val="000B6E9D"/>
    <w:rsid w:val="000B7F50"/>
    <w:rsid w:val="000D4D7A"/>
    <w:rsid w:val="000E57E0"/>
    <w:rsid w:val="000F6865"/>
    <w:rsid w:val="001116D4"/>
    <w:rsid w:val="00153A43"/>
    <w:rsid w:val="00167138"/>
    <w:rsid w:val="001744B4"/>
    <w:rsid w:val="00176AEB"/>
    <w:rsid w:val="001A2D7F"/>
    <w:rsid w:val="001B3692"/>
    <w:rsid w:val="001B7E9F"/>
    <w:rsid w:val="002118D6"/>
    <w:rsid w:val="00212071"/>
    <w:rsid w:val="00216381"/>
    <w:rsid w:val="00234E37"/>
    <w:rsid w:val="0025458F"/>
    <w:rsid w:val="00281B96"/>
    <w:rsid w:val="0028402A"/>
    <w:rsid w:val="00292E69"/>
    <w:rsid w:val="00292FB7"/>
    <w:rsid w:val="002A331F"/>
    <w:rsid w:val="002A5E2D"/>
    <w:rsid w:val="002A6037"/>
    <w:rsid w:val="002F33E2"/>
    <w:rsid w:val="00302B74"/>
    <w:rsid w:val="00302F3B"/>
    <w:rsid w:val="003333A9"/>
    <w:rsid w:val="00337922"/>
    <w:rsid w:val="00340867"/>
    <w:rsid w:val="00380837"/>
    <w:rsid w:val="00391ADD"/>
    <w:rsid w:val="003924C0"/>
    <w:rsid w:val="003A198A"/>
    <w:rsid w:val="003D70BA"/>
    <w:rsid w:val="003E7EF6"/>
    <w:rsid w:val="003F21B5"/>
    <w:rsid w:val="003F617D"/>
    <w:rsid w:val="00410914"/>
    <w:rsid w:val="0041643D"/>
    <w:rsid w:val="00436B29"/>
    <w:rsid w:val="0047492E"/>
    <w:rsid w:val="00490E58"/>
    <w:rsid w:val="004921A4"/>
    <w:rsid w:val="004D1F35"/>
    <w:rsid w:val="004E534E"/>
    <w:rsid w:val="004E7938"/>
    <w:rsid w:val="004F388A"/>
    <w:rsid w:val="005122FE"/>
    <w:rsid w:val="00536930"/>
    <w:rsid w:val="00564E53"/>
    <w:rsid w:val="005653D5"/>
    <w:rsid w:val="0056768F"/>
    <w:rsid w:val="00576C88"/>
    <w:rsid w:val="005777CC"/>
    <w:rsid w:val="00581044"/>
    <w:rsid w:val="005879D0"/>
    <w:rsid w:val="005C02C4"/>
    <w:rsid w:val="005C3A64"/>
    <w:rsid w:val="005F2816"/>
    <w:rsid w:val="005F53F4"/>
    <w:rsid w:val="00601627"/>
    <w:rsid w:val="006112E5"/>
    <w:rsid w:val="00622820"/>
    <w:rsid w:val="00627713"/>
    <w:rsid w:val="0062773A"/>
    <w:rsid w:val="00644FE2"/>
    <w:rsid w:val="00646F1A"/>
    <w:rsid w:val="00647A10"/>
    <w:rsid w:val="00657E6A"/>
    <w:rsid w:val="0067640C"/>
    <w:rsid w:val="0068158E"/>
    <w:rsid w:val="006915E5"/>
    <w:rsid w:val="006A0E03"/>
    <w:rsid w:val="006A4F14"/>
    <w:rsid w:val="006B3E67"/>
    <w:rsid w:val="006B764F"/>
    <w:rsid w:val="006C7458"/>
    <w:rsid w:val="006D59CF"/>
    <w:rsid w:val="006E678B"/>
    <w:rsid w:val="007127F7"/>
    <w:rsid w:val="007342BE"/>
    <w:rsid w:val="00745EE4"/>
    <w:rsid w:val="007744DA"/>
    <w:rsid w:val="00774C81"/>
    <w:rsid w:val="007757F3"/>
    <w:rsid w:val="00776EC3"/>
    <w:rsid w:val="0078006A"/>
    <w:rsid w:val="00782094"/>
    <w:rsid w:val="00793FCE"/>
    <w:rsid w:val="007C6484"/>
    <w:rsid w:val="007E38A0"/>
    <w:rsid w:val="007E6AEB"/>
    <w:rsid w:val="00852843"/>
    <w:rsid w:val="00852897"/>
    <w:rsid w:val="00862DDE"/>
    <w:rsid w:val="008737F4"/>
    <w:rsid w:val="00874FDD"/>
    <w:rsid w:val="00882229"/>
    <w:rsid w:val="008973EE"/>
    <w:rsid w:val="008B1C3A"/>
    <w:rsid w:val="008C5CE1"/>
    <w:rsid w:val="008C63F3"/>
    <w:rsid w:val="008D3D78"/>
    <w:rsid w:val="008E0572"/>
    <w:rsid w:val="008E227A"/>
    <w:rsid w:val="008E2802"/>
    <w:rsid w:val="008E5C94"/>
    <w:rsid w:val="00915290"/>
    <w:rsid w:val="00943912"/>
    <w:rsid w:val="0095298C"/>
    <w:rsid w:val="00971600"/>
    <w:rsid w:val="00974C37"/>
    <w:rsid w:val="00986EEB"/>
    <w:rsid w:val="009973B4"/>
    <w:rsid w:val="009A3E44"/>
    <w:rsid w:val="009B2646"/>
    <w:rsid w:val="009B5F9F"/>
    <w:rsid w:val="009C28C1"/>
    <w:rsid w:val="009D2D75"/>
    <w:rsid w:val="009E0B46"/>
    <w:rsid w:val="009F7EED"/>
    <w:rsid w:val="00A1293D"/>
    <w:rsid w:val="00A12A91"/>
    <w:rsid w:val="00A21DFE"/>
    <w:rsid w:val="00A3689E"/>
    <w:rsid w:val="00A4164D"/>
    <w:rsid w:val="00A5386C"/>
    <w:rsid w:val="00A64A08"/>
    <w:rsid w:val="00A6538E"/>
    <w:rsid w:val="00A731E1"/>
    <w:rsid w:val="00A803EA"/>
    <w:rsid w:val="00A846E9"/>
    <w:rsid w:val="00A9333A"/>
    <w:rsid w:val="00AA14F0"/>
    <w:rsid w:val="00AA58F7"/>
    <w:rsid w:val="00AF0AAB"/>
    <w:rsid w:val="00B224B7"/>
    <w:rsid w:val="00B5328D"/>
    <w:rsid w:val="00B5675D"/>
    <w:rsid w:val="00B651EB"/>
    <w:rsid w:val="00B702F4"/>
    <w:rsid w:val="00BB196F"/>
    <w:rsid w:val="00BC0204"/>
    <w:rsid w:val="00BD5E18"/>
    <w:rsid w:val="00BF597E"/>
    <w:rsid w:val="00C16844"/>
    <w:rsid w:val="00C351E6"/>
    <w:rsid w:val="00C51A36"/>
    <w:rsid w:val="00C55228"/>
    <w:rsid w:val="00C63AFD"/>
    <w:rsid w:val="00C71CF3"/>
    <w:rsid w:val="00C71E3A"/>
    <w:rsid w:val="00C96CCE"/>
    <w:rsid w:val="00CA6ED4"/>
    <w:rsid w:val="00CB7E78"/>
    <w:rsid w:val="00CE315A"/>
    <w:rsid w:val="00CF0F23"/>
    <w:rsid w:val="00CF31C6"/>
    <w:rsid w:val="00CF6038"/>
    <w:rsid w:val="00D06F59"/>
    <w:rsid w:val="00D10A9A"/>
    <w:rsid w:val="00D15D8C"/>
    <w:rsid w:val="00D752D3"/>
    <w:rsid w:val="00D77F11"/>
    <w:rsid w:val="00D82495"/>
    <w:rsid w:val="00D8388C"/>
    <w:rsid w:val="00D85D11"/>
    <w:rsid w:val="00DC320B"/>
    <w:rsid w:val="00DE1A2A"/>
    <w:rsid w:val="00DE7EBD"/>
    <w:rsid w:val="00DF402B"/>
    <w:rsid w:val="00E16666"/>
    <w:rsid w:val="00E237BE"/>
    <w:rsid w:val="00E26D0F"/>
    <w:rsid w:val="00E314B5"/>
    <w:rsid w:val="00E3334E"/>
    <w:rsid w:val="00E35D65"/>
    <w:rsid w:val="00E4006F"/>
    <w:rsid w:val="00E44C36"/>
    <w:rsid w:val="00E45728"/>
    <w:rsid w:val="00E52EAD"/>
    <w:rsid w:val="00E66493"/>
    <w:rsid w:val="00E84212"/>
    <w:rsid w:val="00EB0164"/>
    <w:rsid w:val="00EB543A"/>
    <w:rsid w:val="00EB7D3E"/>
    <w:rsid w:val="00EC138C"/>
    <w:rsid w:val="00ED0F62"/>
    <w:rsid w:val="00ED60A1"/>
    <w:rsid w:val="00EE40AD"/>
    <w:rsid w:val="00F11FB9"/>
    <w:rsid w:val="00F13F66"/>
    <w:rsid w:val="00F2787A"/>
    <w:rsid w:val="00F35428"/>
    <w:rsid w:val="00F41125"/>
    <w:rsid w:val="00F46088"/>
    <w:rsid w:val="00F726A9"/>
    <w:rsid w:val="00F84E00"/>
    <w:rsid w:val="00F925D6"/>
    <w:rsid w:val="00F9575F"/>
    <w:rsid w:val="00FA00A7"/>
    <w:rsid w:val="00FA42A7"/>
    <w:rsid w:val="00FB2B18"/>
    <w:rsid w:val="00FB3CEC"/>
    <w:rsid w:val="00FC439D"/>
    <w:rsid w:val="00FC6389"/>
    <w:rsid w:val="00FC6BA1"/>
    <w:rsid w:val="00FD0E1D"/>
    <w:rsid w:val="00FD49E3"/>
    <w:rsid w:val="00FE38E2"/>
    <w:rsid w:val="00FF7DC9"/>
    <w:rsid w:val="01237055"/>
    <w:rsid w:val="014321E6"/>
    <w:rsid w:val="02602D37"/>
    <w:rsid w:val="02A361C3"/>
    <w:rsid w:val="02EC0344"/>
    <w:rsid w:val="031C06B3"/>
    <w:rsid w:val="036A70FE"/>
    <w:rsid w:val="03F04342"/>
    <w:rsid w:val="043A2F29"/>
    <w:rsid w:val="055A79E5"/>
    <w:rsid w:val="06B657DF"/>
    <w:rsid w:val="06D549D6"/>
    <w:rsid w:val="06EA2337"/>
    <w:rsid w:val="06FF764D"/>
    <w:rsid w:val="07074179"/>
    <w:rsid w:val="072106AC"/>
    <w:rsid w:val="07F82E75"/>
    <w:rsid w:val="08037204"/>
    <w:rsid w:val="08713D93"/>
    <w:rsid w:val="088E4159"/>
    <w:rsid w:val="08FC0128"/>
    <w:rsid w:val="090D6A35"/>
    <w:rsid w:val="094249D9"/>
    <w:rsid w:val="0A4E083A"/>
    <w:rsid w:val="0A527FAF"/>
    <w:rsid w:val="0A8A1863"/>
    <w:rsid w:val="0A991BFD"/>
    <w:rsid w:val="0ACC5B2B"/>
    <w:rsid w:val="0B522200"/>
    <w:rsid w:val="0B53515A"/>
    <w:rsid w:val="0C0A0CD1"/>
    <w:rsid w:val="0D457309"/>
    <w:rsid w:val="0D7B30E8"/>
    <w:rsid w:val="0D985F2F"/>
    <w:rsid w:val="0DBE1270"/>
    <w:rsid w:val="0DC26A87"/>
    <w:rsid w:val="0E4201EE"/>
    <w:rsid w:val="0E9D1693"/>
    <w:rsid w:val="0EB50B3B"/>
    <w:rsid w:val="0EF04609"/>
    <w:rsid w:val="0F477E75"/>
    <w:rsid w:val="0F635936"/>
    <w:rsid w:val="0FE43FBC"/>
    <w:rsid w:val="0FEF77FA"/>
    <w:rsid w:val="107550D5"/>
    <w:rsid w:val="108219C2"/>
    <w:rsid w:val="10883E8A"/>
    <w:rsid w:val="110B0911"/>
    <w:rsid w:val="11225C23"/>
    <w:rsid w:val="113D55B8"/>
    <w:rsid w:val="11C66B5E"/>
    <w:rsid w:val="11D41D45"/>
    <w:rsid w:val="120E53B5"/>
    <w:rsid w:val="123034E8"/>
    <w:rsid w:val="125E29DC"/>
    <w:rsid w:val="127575BD"/>
    <w:rsid w:val="12780633"/>
    <w:rsid w:val="130B599F"/>
    <w:rsid w:val="142C5ADC"/>
    <w:rsid w:val="143D632D"/>
    <w:rsid w:val="143D7BB1"/>
    <w:rsid w:val="14890295"/>
    <w:rsid w:val="153717A5"/>
    <w:rsid w:val="156D05A1"/>
    <w:rsid w:val="15774AEE"/>
    <w:rsid w:val="157D5558"/>
    <w:rsid w:val="15B23614"/>
    <w:rsid w:val="15D30DE7"/>
    <w:rsid w:val="16440ED9"/>
    <w:rsid w:val="16543128"/>
    <w:rsid w:val="16BF44C4"/>
    <w:rsid w:val="16F7510A"/>
    <w:rsid w:val="17924A21"/>
    <w:rsid w:val="17A67230"/>
    <w:rsid w:val="17BE048E"/>
    <w:rsid w:val="18327362"/>
    <w:rsid w:val="18D3715E"/>
    <w:rsid w:val="197C75B5"/>
    <w:rsid w:val="1A57282B"/>
    <w:rsid w:val="1AA210F7"/>
    <w:rsid w:val="1AC67B71"/>
    <w:rsid w:val="1B0065D0"/>
    <w:rsid w:val="1B087E14"/>
    <w:rsid w:val="1B4B294C"/>
    <w:rsid w:val="1BAA2FBD"/>
    <w:rsid w:val="1CAD5010"/>
    <w:rsid w:val="1D1242D7"/>
    <w:rsid w:val="1D86717A"/>
    <w:rsid w:val="1E350D4D"/>
    <w:rsid w:val="1E54581A"/>
    <w:rsid w:val="1E6E174C"/>
    <w:rsid w:val="1ED032AC"/>
    <w:rsid w:val="1ED45FD8"/>
    <w:rsid w:val="200E4909"/>
    <w:rsid w:val="202C6533"/>
    <w:rsid w:val="20444302"/>
    <w:rsid w:val="20961A16"/>
    <w:rsid w:val="21122D5D"/>
    <w:rsid w:val="221C084C"/>
    <w:rsid w:val="227257C1"/>
    <w:rsid w:val="22B709AE"/>
    <w:rsid w:val="22D7582D"/>
    <w:rsid w:val="23235F87"/>
    <w:rsid w:val="23732F32"/>
    <w:rsid w:val="24BD65A1"/>
    <w:rsid w:val="255D6D75"/>
    <w:rsid w:val="25C71E86"/>
    <w:rsid w:val="25D826BB"/>
    <w:rsid w:val="261D2BC4"/>
    <w:rsid w:val="263E019F"/>
    <w:rsid w:val="26BB47F8"/>
    <w:rsid w:val="26F45C8F"/>
    <w:rsid w:val="27571BB0"/>
    <w:rsid w:val="275D5156"/>
    <w:rsid w:val="282355F9"/>
    <w:rsid w:val="28861F20"/>
    <w:rsid w:val="28C8582D"/>
    <w:rsid w:val="28DF2BCF"/>
    <w:rsid w:val="291202D2"/>
    <w:rsid w:val="299C23FC"/>
    <w:rsid w:val="29AA0642"/>
    <w:rsid w:val="29AF13DF"/>
    <w:rsid w:val="29F80E54"/>
    <w:rsid w:val="2B3D669F"/>
    <w:rsid w:val="2B612389"/>
    <w:rsid w:val="2C04664A"/>
    <w:rsid w:val="2C1817A6"/>
    <w:rsid w:val="2C917839"/>
    <w:rsid w:val="2CAE49F5"/>
    <w:rsid w:val="2CD45FEF"/>
    <w:rsid w:val="2D297257"/>
    <w:rsid w:val="2D8E612A"/>
    <w:rsid w:val="2DCF4236"/>
    <w:rsid w:val="2DF31F93"/>
    <w:rsid w:val="2E057899"/>
    <w:rsid w:val="2E620A04"/>
    <w:rsid w:val="2E9176CC"/>
    <w:rsid w:val="2EA7415A"/>
    <w:rsid w:val="2ED7287D"/>
    <w:rsid w:val="2F5D67DC"/>
    <w:rsid w:val="2F7A01DB"/>
    <w:rsid w:val="30FD47FD"/>
    <w:rsid w:val="310367F7"/>
    <w:rsid w:val="310F2B74"/>
    <w:rsid w:val="31BB2B41"/>
    <w:rsid w:val="31CD2D76"/>
    <w:rsid w:val="326E72EF"/>
    <w:rsid w:val="32734E29"/>
    <w:rsid w:val="327711BB"/>
    <w:rsid w:val="32860EED"/>
    <w:rsid w:val="32A818D5"/>
    <w:rsid w:val="330F505D"/>
    <w:rsid w:val="33137513"/>
    <w:rsid w:val="3328502A"/>
    <w:rsid w:val="332B0841"/>
    <w:rsid w:val="33997DE2"/>
    <w:rsid w:val="34262394"/>
    <w:rsid w:val="3494193A"/>
    <w:rsid w:val="34DA7F4E"/>
    <w:rsid w:val="352019F8"/>
    <w:rsid w:val="35AE2D88"/>
    <w:rsid w:val="35C13BFD"/>
    <w:rsid w:val="35C26EE4"/>
    <w:rsid w:val="38103FE1"/>
    <w:rsid w:val="3814590E"/>
    <w:rsid w:val="387E5472"/>
    <w:rsid w:val="38C248EF"/>
    <w:rsid w:val="393A51D1"/>
    <w:rsid w:val="39A04658"/>
    <w:rsid w:val="3B59769B"/>
    <w:rsid w:val="3B5F54C4"/>
    <w:rsid w:val="3BF3205C"/>
    <w:rsid w:val="3C871C4F"/>
    <w:rsid w:val="3C9A2BF5"/>
    <w:rsid w:val="3D5B555C"/>
    <w:rsid w:val="3D951246"/>
    <w:rsid w:val="3D9A6CF0"/>
    <w:rsid w:val="3DB92AC4"/>
    <w:rsid w:val="3EC07009"/>
    <w:rsid w:val="3F1C24D3"/>
    <w:rsid w:val="3F1F20F4"/>
    <w:rsid w:val="3FFD17CC"/>
    <w:rsid w:val="40425DD8"/>
    <w:rsid w:val="406E64DA"/>
    <w:rsid w:val="40882793"/>
    <w:rsid w:val="40FF3C83"/>
    <w:rsid w:val="416877C4"/>
    <w:rsid w:val="41846EFA"/>
    <w:rsid w:val="41C50928"/>
    <w:rsid w:val="42A83790"/>
    <w:rsid w:val="42D005BA"/>
    <w:rsid w:val="42D62122"/>
    <w:rsid w:val="43543C1C"/>
    <w:rsid w:val="43587CD0"/>
    <w:rsid w:val="43B04046"/>
    <w:rsid w:val="44483C60"/>
    <w:rsid w:val="45BE3CAA"/>
    <w:rsid w:val="45D93522"/>
    <w:rsid w:val="461A5941"/>
    <w:rsid w:val="461C30E9"/>
    <w:rsid w:val="463175C9"/>
    <w:rsid w:val="46A0119E"/>
    <w:rsid w:val="46B86DED"/>
    <w:rsid w:val="46CB5A97"/>
    <w:rsid w:val="46DB4564"/>
    <w:rsid w:val="479033F0"/>
    <w:rsid w:val="47FF0F4B"/>
    <w:rsid w:val="48160645"/>
    <w:rsid w:val="48210BFD"/>
    <w:rsid w:val="48752520"/>
    <w:rsid w:val="48D92A98"/>
    <w:rsid w:val="493A73ED"/>
    <w:rsid w:val="4A02594A"/>
    <w:rsid w:val="4A174CB7"/>
    <w:rsid w:val="4A6A2AFC"/>
    <w:rsid w:val="4B511DE2"/>
    <w:rsid w:val="4B7E721E"/>
    <w:rsid w:val="4C017549"/>
    <w:rsid w:val="4CFF3B84"/>
    <w:rsid w:val="4D4E2263"/>
    <w:rsid w:val="4EA8785F"/>
    <w:rsid w:val="4F9420A0"/>
    <w:rsid w:val="4FA333A8"/>
    <w:rsid w:val="4FA356F1"/>
    <w:rsid w:val="4FC219C0"/>
    <w:rsid w:val="50A05722"/>
    <w:rsid w:val="50FA26C7"/>
    <w:rsid w:val="51B07021"/>
    <w:rsid w:val="52BF26AB"/>
    <w:rsid w:val="53444639"/>
    <w:rsid w:val="546315FC"/>
    <w:rsid w:val="55204D35"/>
    <w:rsid w:val="552B454E"/>
    <w:rsid w:val="556D7264"/>
    <w:rsid w:val="55C73815"/>
    <w:rsid w:val="56880B28"/>
    <w:rsid w:val="56CD4008"/>
    <w:rsid w:val="56DE0281"/>
    <w:rsid w:val="578E143A"/>
    <w:rsid w:val="58886998"/>
    <w:rsid w:val="58AE4BFC"/>
    <w:rsid w:val="58D04D08"/>
    <w:rsid w:val="58D12569"/>
    <w:rsid w:val="59226013"/>
    <w:rsid w:val="593A21B0"/>
    <w:rsid w:val="594D1804"/>
    <w:rsid w:val="5955745C"/>
    <w:rsid w:val="5A2C536F"/>
    <w:rsid w:val="5A4F418C"/>
    <w:rsid w:val="5A8710A3"/>
    <w:rsid w:val="5AFE756D"/>
    <w:rsid w:val="5B4A53A2"/>
    <w:rsid w:val="5C083D41"/>
    <w:rsid w:val="5C872F74"/>
    <w:rsid w:val="5D036FFF"/>
    <w:rsid w:val="5D3D3493"/>
    <w:rsid w:val="5E243229"/>
    <w:rsid w:val="5E2D3CAF"/>
    <w:rsid w:val="5E7D51D5"/>
    <w:rsid w:val="5E9A53DF"/>
    <w:rsid w:val="5EA12B9A"/>
    <w:rsid w:val="5EAC1CF0"/>
    <w:rsid w:val="5EB9199F"/>
    <w:rsid w:val="5EBF0B8F"/>
    <w:rsid w:val="5F5C20A2"/>
    <w:rsid w:val="5F6B5B9C"/>
    <w:rsid w:val="5FC26D77"/>
    <w:rsid w:val="601217D3"/>
    <w:rsid w:val="60C97544"/>
    <w:rsid w:val="615960EE"/>
    <w:rsid w:val="61B4110F"/>
    <w:rsid w:val="61F25C0D"/>
    <w:rsid w:val="61FE677C"/>
    <w:rsid w:val="628F5DE4"/>
    <w:rsid w:val="62E84468"/>
    <w:rsid w:val="63244403"/>
    <w:rsid w:val="63272C6B"/>
    <w:rsid w:val="634C0405"/>
    <w:rsid w:val="634D35C3"/>
    <w:rsid w:val="63577018"/>
    <w:rsid w:val="63A076AF"/>
    <w:rsid w:val="63B15496"/>
    <w:rsid w:val="63BC1E27"/>
    <w:rsid w:val="64450F89"/>
    <w:rsid w:val="64816A20"/>
    <w:rsid w:val="64C23928"/>
    <w:rsid w:val="652C57B3"/>
    <w:rsid w:val="65967FA2"/>
    <w:rsid w:val="65D63B50"/>
    <w:rsid w:val="660A7F70"/>
    <w:rsid w:val="6626385E"/>
    <w:rsid w:val="67706016"/>
    <w:rsid w:val="689F5105"/>
    <w:rsid w:val="693B0827"/>
    <w:rsid w:val="69416448"/>
    <w:rsid w:val="69A060E5"/>
    <w:rsid w:val="6A2D6512"/>
    <w:rsid w:val="6ABD5712"/>
    <w:rsid w:val="6AC66944"/>
    <w:rsid w:val="6B5621A9"/>
    <w:rsid w:val="6BD211F2"/>
    <w:rsid w:val="6C1C5AEE"/>
    <w:rsid w:val="6C8464CC"/>
    <w:rsid w:val="6CE7352A"/>
    <w:rsid w:val="6DEF6D71"/>
    <w:rsid w:val="6E5E28AB"/>
    <w:rsid w:val="6E9844C6"/>
    <w:rsid w:val="6ED008C7"/>
    <w:rsid w:val="6F1C0C18"/>
    <w:rsid w:val="6F2F6271"/>
    <w:rsid w:val="6F3944D9"/>
    <w:rsid w:val="6F4E570C"/>
    <w:rsid w:val="6FB02F06"/>
    <w:rsid w:val="6FDF3742"/>
    <w:rsid w:val="7080450D"/>
    <w:rsid w:val="70DD4915"/>
    <w:rsid w:val="7140022C"/>
    <w:rsid w:val="71430325"/>
    <w:rsid w:val="720476F4"/>
    <w:rsid w:val="723E7AE4"/>
    <w:rsid w:val="7259038B"/>
    <w:rsid w:val="725D5CB2"/>
    <w:rsid w:val="72716478"/>
    <w:rsid w:val="72724CB0"/>
    <w:rsid w:val="729970F7"/>
    <w:rsid w:val="72BE5A93"/>
    <w:rsid w:val="72F5594B"/>
    <w:rsid w:val="7368396E"/>
    <w:rsid w:val="73724608"/>
    <w:rsid w:val="744E64E8"/>
    <w:rsid w:val="75147C44"/>
    <w:rsid w:val="753A3ACD"/>
    <w:rsid w:val="755D14B0"/>
    <w:rsid w:val="757229A2"/>
    <w:rsid w:val="75873C45"/>
    <w:rsid w:val="75EA0CC5"/>
    <w:rsid w:val="76520262"/>
    <w:rsid w:val="76B811E6"/>
    <w:rsid w:val="76D0356B"/>
    <w:rsid w:val="771C2CCF"/>
    <w:rsid w:val="7724202B"/>
    <w:rsid w:val="77260C9B"/>
    <w:rsid w:val="78104A82"/>
    <w:rsid w:val="78113928"/>
    <w:rsid w:val="782B046B"/>
    <w:rsid w:val="789A3093"/>
    <w:rsid w:val="78B623DE"/>
    <w:rsid w:val="79BA1408"/>
    <w:rsid w:val="79EC345A"/>
    <w:rsid w:val="7A037F40"/>
    <w:rsid w:val="7B1156A0"/>
    <w:rsid w:val="7B1D7775"/>
    <w:rsid w:val="7B3A36A9"/>
    <w:rsid w:val="7B5444C2"/>
    <w:rsid w:val="7CC273FE"/>
    <w:rsid w:val="7CFB501D"/>
    <w:rsid w:val="7D3751AD"/>
    <w:rsid w:val="7D726D57"/>
    <w:rsid w:val="7DA350EE"/>
    <w:rsid w:val="7DAD7FDA"/>
    <w:rsid w:val="7DB8777E"/>
    <w:rsid w:val="7DD052A8"/>
    <w:rsid w:val="7ED67998"/>
    <w:rsid w:val="7F021588"/>
    <w:rsid w:val="7F601B7C"/>
    <w:rsid w:val="7F8F18F2"/>
    <w:rsid w:val="7FBD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link w:val="25"/>
    <w:unhideWhenUsed/>
    <w:qFormat/>
    <w:uiPriority w:val="99"/>
    <w:pPr>
      <w:spacing w:line="420" w:lineRule="exact"/>
    </w:pPr>
    <w:rPr>
      <w:sz w:val="24"/>
    </w:r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rPr>
  </w:style>
  <w:style w:type="paragraph" w:styleId="8">
    <w:name w:val="Date"/>
    <w:basedOn w:val="1"/>
    <w:next w:val="1"/>
    <w:qFormat/>
    <w:uiPriority w:val="0"/>
    <w:pPr>
      <w:widowControl/>
      <w:ind w:left="100" w:leftChars="2500"/>
      <w:jc w:val="left"/>
    </w:pPr>
    <w:rPr>
      <w:kern w:val="0"/>
    </w:rPr>
  </w:style>
  <w:style w:type="paragraph" w:styleId="9">
    <w:name w:val="Balloon Text"/>
    <w:basedOn w:val="1"/>
    <w:link w:val="20"/>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spacing w:line="360" w:lineRule="exact"/>
      <w:ind w:left="630" w:leftChars="300"/>
    </w:pPr>
    <w:rPr>
      <w:rFonts w:eastAsia="楷体_GB2312"/>
      <w:sz w:val="28"/>
    </w:rPr>
  </w:style>
  <w:style w:type="paragraph" w:styleId="13">
    <w:name w:val="Normal (Web)"/>
    <w:basedOn w:val="1"/>
    <w:qFormat/>
    <w:uiPriority w:val="0"/>
    <w:pPr>
      <w:spacing w:before="100" w:beforeAutospacing="1" w:after="100"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customStyle="1" w:styleId="18">
    <w:name w:val="页眉 Char"/>
    <w:basedOn w:val="16"/>
    <w:link w:val="11"/>
    <w:qFormat/>
    <w:uiPriority w:val="99"/>
    <w:rPr>
      <w:rFonts w:ascii="Times New Roman" w:hAnsi="Times New Roman" w:eastAsia="宋体" w:cs="Times New Roman"/>
      <w:sz w:val="18"/>
      <w:szCs w:val="18"/>
    </w:rPr>
  </w:style>
  <w:style w:type="character" w:customStyle="1" w:styleId="19">
    <w:name w:val="页脚 Char"/>
    <w:basedOn w:val="16"/>
    <w:link w:val="10"/>
    <w:qFormat/>
    <w:uiPriority w:val="99"/>
    <w:rPr>
      <w:rFonts w:ascii="Times New Roman" w:hAnsi="Times New Roman" w:eastAsia="宋体" w:cs="Times New Roman"/>
      <w:sz w:val="18"/>
      <w:szCs w:val="18"/>
    </w:rPr>
  </w:style>
  <w:style w:type="character" w:customStyle="1" w:styleId="20">
    <w:name w:val="批注框文本 Char"/>
    <w:basedOn w:val="16"/>
    <w:link w:val="9"/>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附录表标题"/>
    <w:next w:val="1"/>
    <w:qFormat/>
    <w:uiPriority w:val="0"/>
    <w:pPr>
      <w:numPr>
        <w:ilvl w:val="0"/>
        <w:numId w:val="1"/>
      </w:numPr>
      <w:jc w:val="center"/>
      <w:textAlignment w:val="baseline"/>
    </w:pPr>
    <w:rPr>
      <w:rFonts w:ascii="黑体" w:hAnsi="Times New Roman" w:eastAsia="黑体" w:cs="Times New Roman"/>
      <w:kern w:val="21"/>
      <w:sz w:val="21"/>
      <w:lang w:val="en-US" w:eastAsia="zh-CN" w:bidi="ar-SA"/>
    </w:rPr>
  </w:style>
  <w:style w:type="paragraph" w:customStyle="1" w:styleId="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5">
    <w:name w:val="正文文本 Char"/>
    <w:basedOn w:val="16"/>
    <w:link w:val="5"/>
    <w:qFormat/>
    <w:uiPriority w:val="99"/>
    <w:rPr>
      <w:kern w:val="2"/>
      <w:sz w:val="24"/>
    </w:rPr>
  </w:style>
  <w:style w:type="paragraph" w:customStyle="1" w:styleId="26">
    <w:name w:val="_Style 2"/>
    <w:basedOn w:val="1"/>
    <w:qFormat/>
    <w:uiPriority w:val="34"/>
    <w:pPr>
      <w:ind w:firstLine="420" w:firstLineChars="200"/>
    </w:pPr>
    <w:rPr>
      <w:rFonts w:ascii="Calibri" w:hAnsi="Calibri"/>
      <w:sz w:val="24"/>
      <w:szCs w:val="22"/>
    </w:rPr>
  </w:style>
  <w:style w:type="character" w:customStyle="1" w:styleId="27">
    <w:name w:val="font01"/>
    <w:basedOn w:val="1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6741</Words>
  <Characters>7500</Characters>
  <Lines>79</Lines>
  <Paragraphs>22</Paragraphs>
  <TotalTime>251</TotalTime>
  <ScaleCrop>false</ScaleCrop>
  <LinksUpToDate>false</LinksUpToDate>
  <CharactersWithSpaces>7740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2022-05-07T05:57:20Z</dcterms:modified>
  <cp:revision>512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445D9748613C440DA7F931EF32F67F10</vt:lpwstr>
  </property>
  <property fmtid="{D5CDD505-2E9C-101B-9397-08002B2CF9AE}" pid="4" name="commondata">
    <vt:lpwstr>eyJoZGlkIjoiMDUwNDU2ZjRmZWE5MTlkODUwOTg4ZWRhNWUwYjBhMTMifQ==</vt:lpwstr>
  </property>
</Properties>
</file>