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0324-2022-QEO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承德辰一工程管理有限公司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承德辰一工程管理有限公司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围场满族蒙古族自治县围场镇农办家属楼西单元底商101</w:t>
            </w:r>
            <w:bookmarkEnd w:id="6"/>
          </w:p>
        </w:tc>
        <w:tc>
          <w:tcPr>
            <w:tcW w:w="1242" w:type="dxa"/>
            <w:vMerge w:val="restart"/>
            <w:vAlign w:val="center"/>
          </w:tcPr>
          <w:p>
            <w:r>
              <w:rPr>
                <w:rFonts w:hint="eastAsia"/>
              </w:rPr>
              <w:t>邮编</w:t>
            </w:r>
          </w:p>
        </w:tc>
        <w:tc>
          <w:tcPr>
            <w:tcW w:w="1771" w:type="dxa"/>
          </w:tcPr>
          <w:p>
            <w:bookmarkStart w:id="7" w:name="注册邮编"/>
            <w:r>
              <w:t>068450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围场满族蒙古族自治县围场镇农办家属楼西单元底商101</w:t>
            </w:r>
            <w:bookmarkEnd w:id="8"/>
          </w:p>
        </w:tc>
        <w:tc>
          <w:tcPr>
            <w:tcW w:w="1242" w:type="dxa"/>
            <w:vMerge w:val="continue"/>
            <w:vAlign w:val="center"/>
          </w:tcPr>
          <w:p/>
        </w:tc>
        <w:tc>
          <w:tcPr>
            <w:tcW w:w="1771" w:type="dxa"/>
          </w:tcPr>
          <w:p>
            <w:bookmarkStart w:id="9" w:name="办公邮编"/>
            <w:r>
              <w:t>068450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隋艳丽</w:t>
            </w:r>
            <w:bookmarkEnd w:id="10"/>
          </w:p>
        </w:tc>
        <w:tc>
          <w:tcPr>
            <w:tcW w:w="1313" w:type="dxa"/>
            <w:vAlign w:val="center"/>
          </w:tcPr>
          <w:p>
            <w:r>
              <w:rPr>
                <w:rFonts w:hint="eastAsia"/>
              </w:rPr>
              <w:t>电话.</w:t>
            </w:r>
          </w:p>
        </w:tc>
        <w:tc>
          <w:tcPr>
            <w:tcW w:w="2180" w:type="dxa"/>
            <w:vAlign w:val="center"/>
          </w:tcPr>
          <w:p>
            <w:bookmarkStart w:id="11" w:name="联系人电话"/>
            <w:r>
              <w:t>0314-5995566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刘文超</w:t>
            </w:r>
            <w:bookmarkEnd w:id="13"/>
          </w:p>
        </w:tc>
        <w:tc>
          <w:tcPr>
            <w:tcW w:w="1313" w:type="dxa"/>
            <w:vAlign w:val="center"/>
          </w:tcPr>
          <w:p>
            <w:r>
              <w:rPr>
                <w:rFonts w:hint="eastAsia"/>
              </w:rPr>
              <w:t>管理者代表</w:t>
            </w:r>
          </w:p>
        </w:tc>
        <w:tc>
          <w:tcPr>
            <w:tcW w:w="2180" w:type="dxa"/>
          </w:tcPr>
          <w:p>
            <w:bookmarkStart w:id="14" w:name="管理者代表"/>
            <w:r>
              <w:t>隋艳丽</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技术服务流程：洽谈</w:t>
            </w:r>
            <w:r>
              <w:rPr>
                <w:rFonts w:hint="eastAsia" w:ascii="Times New Roman" w:hAnsi="Times New Roman" w:eastAsia="宋体" w:cs="Times New Roman"/>
                <w:color w:val="000000"/>
                <w:lang w:val="en-US" w:eastAsia="zh-CN"/>
              </w:rPr>
              <w:t>/招投标</w:t>
            </w:r>
            <w:r>
              <w:rPr>
                <w:rFonts w:hint="eastAsia" w:ascii="Times New Roman" w:hAnsi="Times New Roman" w:eastAsia="宋体" w:cs="Times New Roman"/>
                <w:color w:val="000000"/>
                <w:lang w:eastAsia="zh-CN"/>
              </w:rPr>
              <w:t>→签订合同→</w:t>
            </w:r>
            <w:r>
              <w:rPr>
                <w:rFonts w:hint="eastAsia" w:ascii="Times New Roman" w:hAnsi="Times New Roman" w:eastAsia="宋体" w:cs="Times New Roman"/>
                <w:color w:val="000000"/>
                <w:lang w:val="zh-CN" w:eastAsia="zh-CN"/>
              </w:rPr>
              <w:t>收款</w:t>
            </w:r>
            <w:r>
              <w:rPr>
                <w:rFonts w:hint="eastAsia" w:ascii="Times New Roman" w:hAnsi="Times New Roman" w:eastAsia="宋体" w:cs="Times New Roman"/>
                <w:color w:val="000000"/>
                <w:lang w:val="en-US" w:eastAsia="zh-CN"/>
              </w:rPr>
              <w:t>/预付款</w:t>
            </w:r>
            <w:r>
              <w:rPr>
                <w:rFonts w:hint="eastAsia" w:ascii="Times New Roman" w:hAnsi="Times New Roman" w:eastAsia="宋体" w:cs="Times New Roman"/>
                <w:color w:val="000000"/>
                <w:lang w:val="zh-CN" w:eastAsia="zh-CN"/>
              </w:rPr>
              <w:t xml:space="preserve"> </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zh-CN" w:eastAsia="zh-CN"/>
              </w:rPr>
              <w:t xml:space="preserve"> 调研考察了解项目情况及客户要求</w:t>
            </w:r>
            <w:r>
              <w:rPr>
                <w:rFonts w:hint="eastAsia"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zh-CN" w:eastAsia="zh-CN"/>
              </w:rPr>
              <w:t xml:space="preserve"> 出具技术方案</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zh-CN" w:eastAsia="zh-CN"/>
              </w:rPr>
              <w:t>配备技术人员</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zh-CN" w:eastAsia="zh-CN"/>
              </w:rPr>
              <w:t xml:space="preserve"> 提供技术咨询</w:t>
            </w:r>
            <w:r>
              <w:rPr>
                <w:rFonts w:hint="eastAsia" w:ascii="Times New Roman" w:hAnsi="Times New Roman" w:eastAsia="宋体" w:cs="Times New Roman"/>
                <w:color w:val="000000"/>
                <w:lang w:val="en-US" w:eastAsia="zh-CN"/>
              </w:rPr>
              <w:t>、技术支持等服务</w:t>
            </w:r>
            <w:r>
              <w:rPr>
                <w:rFonts w:hint="eastAsia" w:ascii="Times New Roman" w:hAnsi="Times New Roman" w:eastAsia="宋体" w:cs="Times New Roman"/>
                <w:color w:val="000000"/>
                <w:lang w:eastAsia="zh-CN"/>
              </w:rPr>
              <w:t>→服务完成→</w:t>
            </w:r>
            <w:r>
              <w:rPr>
                <w:rFonts w:hint="eastAsia" w:ascii="Times New Roman" w:hAnsi="Times New Roman" w:eastAsia="宋体" w:cs="Times New Roman"/>
                <w:color w:val="000000"/>
                <w:lang w:val="zh-CN" w:eastAsia="zh-CN"/>
              </w:rPr>
              <w:t xml:space="preserve"> 客户回访 </w:t>
            </w:r>
          </w:p>
          <w:p>
            <w:r>
              <w:rPr>
                <w:rFonts w:hint="eastAsia" w:ascii="Times New Roman" w:hAnsi="Times New Roman" w:eastAsia="宋体" w:cs="Times New Roman"/>
                <w:color w:val="000000"/>
                <w:lang w:eastAsia="zh-CN"/>
              </w:rPr>
              <w:t>劳务派遣工作流程：招投标/洽谈→中标或洽谈成功签订合同→根据合同要求组织人员-编制作业文件报甲方审核→审核通过派遣劳务入场服务→人员工资结算/月结→派遣服务完成→服务回访</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2022年04月23日 上午至2022年04月23日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9" w:name="办公地址"/>
            <w:r>
              <w:rPr>
                <w:rFonts w:ascii="宋体"/>
                <w:b/>
                <w:color w:val="000000"/>
                <w:szCs w:val="21"/>
              </w:rPr>
              <w:t>围场满族蒙古族自治县围场镇农办家属楼西单元底商101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Q：劳务派遣服务，太阳能、风力发电技术服务</w:t>
            </w:r>
          </w:p>
          <w:p>
            <w:r>
              <w:t>E：劳务派遣服务，太阳能、风力发电技术服务所涉及场所的相关环境管理活动</w:t>
            </w:r>
          </w:p>
          <w:p>
            <w:r>
              <w:t>O：劳务派遣服务，太阳能、风力发电技术服务所涉及场所的相关职业健康安全管理活动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Q：34.06.00;35.10.00</w:t>
            </w:r>
          </w:p>
          <w:p>
            <w:r>
              <w:t>E：34.06.00;35.10.00</w:t>
            </w:r>
          </w:p>
          <w:p>
            <w:r>
              <w:t>O：34.06.00;35.10.00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8"/>
        <w:gridCol w:w="1719"/>
        <w:gridCol w:w="618"/>
        <w:gridCol w:w="1918"/>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noWrap w:val="0"/>
            <w:tcMar>
              <w:left w:w="57" w:type="dxa"/>
              <w:right w:w="57" w:type="dxa"/>
            </w:tcMar>
            <w:vAlign w:val="top"/>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49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19"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18" w:type="dxa"/>
            <w:shd w:val="clear" w:color="auto" w:fill="F3F3F3"/>
            <w:noWrap w:val="0"/>
            <w:tcMar>
              <w:left w:w="57" w:type="dxa"/>
              <w:right w:w="57" w:type="dxa"/>
            </w:tcMar>
            <w:vAlign w:val="top"/>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noWrap w:val="0"/>
            <w:tcMar>
              <w:left w:w="57" w:type="dxa"/>
              <w:right w:w="57" w:type="dxa"/>
            </w:tcMar>
            <w:vAlign w:val="top"/>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shd w:val="clear" w:color="auto" w:fill="auto"/>
            <w:noWrap w:val="0"/>
            <w:vAlign w:val="center"/>
          </w:tcPr>
          <w:p>
            <w:pPr>
              <w:spacing w:before="40" w:after="40"/>
              <w:rPr>
                <w:rFonts w:eastAsia="黑体"/>
                <w:szCs w:val="21"/>
                <w:lang w:eastAsia="ja-JP"/>
              </w:rPr>
            </w:pPr>
            <w:r>
              <w:rPr>
                <w:rFonts w:eastAsia="黑体"/>
                <w:szCs w:val="21"/>
                <w:lang w:eastAsia="ja-JP"/>
              </w:rPr>
              <w:t>01</w:t>
            </w:r>
          </w:p>
        </w:tc>
        <w:tc>
          <w:tcPr>
            <w:tcW w:w="2498" w:type="dxa"/>
            <w:shd w:val="clear" w:color="auto" w:fill="auto"/>
            <w:noWrap w:val="0"/>
            <w:vAlign w:val="top"/>
          </w:tcPr>
          <w:p>
            <w:pPr>
              <w:spacing w:before="40" w:after="40"/>
              <w:rPr>
                <w:rFonts w:eastAsia="黑体"/>
                <w:szCs w:val="21"/>
                <w:lang w:val="de-DE" w:eastAsia="ja-JP"/>
              </w:rPr>
            </w:pPr>
            <w:r>
              <w:rPr>
                <w:rFonts w:hint="eastAsia" w:eastAsia="黑体"/>
                <w:szCs w:val="21"/>
                <w:lang w:val="de-DE" w:eastAsia="ja-JP"/>
              </w:rPr>
              <w:t>承德辰一工程管理有限公司</w:t>
            </w:r>
            <w:r>
              <w:rPr>
                <w:rFonts w:hint="eastAsia" w:eastAsia="黑体"/>
                <w:szCs w:val="21"/>
                <w:lang w:val="en-US" w:eastAsia="zh-CN"/>
              </w:rPr>
              <w:t>/</w:t>
            </w:r>
            <w:r>
              <w:rPr>
                <w:rFonts w:hint="eastAsia" w:eastAsia="黑体"/>
                <w:szCs w:val="21"/>
                <w:lang w:val="de-DE" w:eastAsia="ja-JP"/>
              </w:rPr>
              <w:t>围场满族蒙古族自治县围场镇农办家属楼西单元底商101</w:t>
            </w:r>
          </w:p>
        </w:tc>
        <w:tc>
          <w:tcPr>
            <w:tcW w:w="1719" w:type="dxa"/>
            <w:shd w:val="clear" w:color="auto" w:fill="auto"/>
            <w:noWrap w:val="0"/>
            <w:vAlign w:val="top"/>
          </w:tcPr>
          <w:p>
            <w:pPr>
              <w:spacing w:before="40" w:after="40"/>
              <w:rPr>
                <w:rFonts w:eastAsia="黑体"/>
                <w:szCs w:val="21"/>
                <w:lang w:val="de-DE" w:eastAsia="ja-JP"/>
              </w:rPr>
            </w:pPr>
            <w:r>
              <w:rPr>
                <w:rFonts w:hint="eastAsia" w:eastAsia="黑体"/>
                <w:szCs w:val="21"/>
                <w:lang w:val="de-DE" w:eastAsia="ja-JP"/>
              </w:rPr>
              <w:t>围场满族蒙古族自治县围场镇农办家属楼西单元底商101</w:t>
            </w:r>
          </w:p>
        </w:tc>
        <w:tc>
          <w:tcPr>
            <w:tcW w:w="618" w:type="dxa"/>
            <w:shd w:val="clear" w:color="auto" w:fill="auto"/>
            <w:noWrap w:val="0"/>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1918" w:type="dxa"/>
            <w:shd w:val="clear" w:color="auto" w:fill="auto"/>
            <w:noWrap w:val="0"/>
            <w:vAlign w:val="center"/>
          </w:tcPr>
          <w:p>
            <w:pPr>
              <w:pStyle w:val="20"/>
              <w:rPr>
                <w:rFonts w:hint="eastAsia" w:eastAsia="黑体" w:cs="Arial"/>
                <w:sz w:val="21"/>
                <w:szCs w:val="21"/>
                <w:lang w:val="en-US" w:eastAsia="zh-CN"/>
              </w:rPr>
            </w:pPr>
            <w:r>
              <w:rPr>
                <w:sz w:val="21"/>
                <w:szCs w:val="21"/>
              </w:rPr>
              <w:t>劳务派遣服务，太阳能、风力发电技术服务</w:t>
            </w:r>
          </w:p>
        </w:tc>
        <w:tc>
          <w:tcPr>
            <w:tcW w:w="1824" w:type="dxa"/>
            <w:shd w:val="clear" w:color="auto" w:fill="auto"/>
            <w:noWrap w:val="0"/>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shd w:val="clear" w:color="auto" w:fill="FFFFFF"/>
            <w:noWrap w:val="0"/>
            <w:vAlign w:val="top"/>
          </w:tcPr>
          <w:p>
            <w:pPr>
              <w:rPr>
                <w:rFonts w:eastAsia="黑体"/>
                <w:szCs w:val="21"/>
              </w:rPr>
            </w:pPr>
            <w:r>
              <w:rPr>
                <w:rFonts w:hint="default" w:ascii="Arial" w:hAnsi="Arial" w:eastAsia="黑体" w:cs="Arial"/>
                <w:szCs w:val="21"/>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Q:34.06.00</w:t>
            </w:r>
          </w:p>
          <w:p>
            <w:r>
              <w:t>E:34.06.00,35.10.00</w:t>
            </w:r>
          </w:p>
          <w:p>
            <w:r>
              <w:t>O:34.06.00,35.10.00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Q:34.06.00,35.10.00</w:t>
            </w:r>
          </w:p>
          <w:p>
            <w:r>
              <w:t>E:34.06.00,35.10.00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E:34.06.00,35.10.00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71755</wp:posOffset>
                  </wp:positionH>
                  <wp:positionV relativeFrom="paragraph">
                    <wp:posOffset>361315</wp:posOffset>
                  </wp:positionV>
                  <wp:extent cx="853440" cy="4108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853440" cy="410845"/>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Times New Roman" w:hAnsi="Times New Roman" w:eastAsia="宋体" w:cs="Times New Roman"/>
              </w:rPr>
              <w:t>质量第一  诚信为本  持续改进  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技术服务部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8"/>
              <w:gridCol w:w="36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8" w:type="dxa"/>
                </w:tcPr>
                <w:p>
                  <w:pPr>
                    <w:shd w:val="clear" w:color="auto" w:fill="C7DAF1" w:themeFill="text2" w:themeFillTint="32"/>
                  </w:pPr>
                  <w:r>
                    <w:rPr>
                      <w:rFonts w:hint="eastAsia"/>
                    </w:rPr>
                    <w:t>主要的风险或机遇描述</w:t>
                  </w:r>
                </w:p>
              </w:tc>
              <w:tc>
                <w:tcPr>
                  <w:tcW w:w="369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8" w:type="dxa"/>
                </w:tcPr>
                <w:p>
                  <w:pPr>
                    <w:shd w:val="clear" w:color="auto" w:fill="C7DAF1" w:themeFill="text2" w:themeFillTint="32"/>
                  </w:pPr>
                  <w:r>
                    <w:rPr>
                      <w:rFonts w:ascii="Calibri" w:hAnsi="Calibri" w:eastAsia="宋体" w:cs="Calibri"/>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人员管理不到位，人员资质过期</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有资质的人员没能按规 定实施培训。</w:t>
                  </w:r>
                  <w:r>
                    <w:rPr>
                      <w:rFonts w:hint="default" w:ascii="Calibri" w:hAnsi="Calibri" w:eastAsia="宋体" w:cs="Calibri"/>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人员 短缺，人员流失。</w:t>
                  </w:r>
                  <w:r>
                    <w:rPr>
                      <w:rFonts w:hint="default" w:ascii="Calibri" w:hAnsi="Calibri" w:eastAsia="宋体" w:cs="Calibri"/>
                      <w:color w:val="000000"/>
                      <w:kern w:val="0"/>
                      <w:sz w:val="20"/>
                      <w:szCs w:val="20"/>
                      <w:lang w:val="en-US" w:eastAsia="zh-CN" w:bidi="ar"/>
                    </w:rPr>
                    <w:t xml:space="preserve">3. </w:t>
                  </w:r>
                  <w:r>
                    <w:rPr>
                      <w:rFonts w:hint="eastAsia" w:ascii="宋体" w:hAnsi="宋体" w:eastAsia="宋体" w:cs="宋体"/>
                      <w:color w:val="000000"/>
                      <w:kern w:val="0"/>
                      <w:sz w:val="20"/>
                      <w:szCs w:val="20"/>
                      <w:lang w:val="en-US" w:eastAsia="zh-CN" w:bidi="ar"/>
                    </w:rPr>
                    <w:t>作业人员能力差</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培训不到位。</w:t>
                  </w:r>
                </w:p>
              </w:tc>
              <w:tc>
                <w:tcPr>
                  <w:tcW w:w="3697" w:type="dxa"/>
                </w:tcPr>
                <w:p>
                  <w:pPr>
                    <w:shd w:val="clear" w:color="auto" w:fill="C7DAF1" w:themeFill="text2" w:themeFillTint="32"/>
                  </w:pPr>
                  <w:r>
                    <w:rPr>
                      <w:rFonts w:hint="eastAsia" w:ascii="Times New Roman" w:hAnsi="Times New Roman" w:eastAsia="宋体" w:cs="Times New Roman"/>
                      <w:kern w:val="2"/>
                      <w:sz w:val="21"/>
                      <w:szCs w:val="20"/>
                      <w:lang w:val="en-US" w:eastAsia="zh-CN" w:bidi="ar-SA"/>
                    </w:rPr>
                    <w:t>1、行政部对持证上岗人员按要求组织培训；2、采取激励 措施，减少人员流失；3、每年对作业人员和管理人员定 期组织培训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7"/>
              <w:gridCol w:w="211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11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shd w:val="clear" w:color="auto" w:fill="auto"/>
                </w:tcPr>
                <w:p>
                  <w:pPr>
                    <w:shd w:val="clear" w:color="auto" w:fill="C7DAF1" w:themeFill="text2" w:themeFillTint="32"/>
                  </w:pPr>
                  <w:r>
                    <w:rPr>
                      <w:rFonts w:hint="eastAsia" w:ascii="Times New Roman" w:hAnsi="Times New Roman"/>
                    </w:rPr>
                    <w:t>劳务派遣服务满意度≥90%</w:t>
                  </w:r>
                </w:p>
              </w:tc>
              <w:tc>
                <w:tcPr>
                  <w:tcW w:w="211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每季度考核</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shd w:val="clear" w:color="auto" w:fill="auto"/>
                </w:tcPr>
                <w:p>
                  <w:pPr>
                    <w:shd w:val="clear" w:color="auto" w:fill="C7DAF1" w:themeFill="text2" w:themeFillTint="32"/>
                  </w:pPr>
                  <w:r>
                    <w:rPr>
                      <w:rFonts w:hint="eastAsia" w:ascii="Times New Roman" w:hAnsi="Times New Roman"/>
                    </w:rPr>
                    <w:t>发电技术服务综合满意度≥90%</w:t>
                  </w:r>
                </w:p>
              </w:tc>
              <w:tc>
                <w:tcPr>
                  <w:tcW w:w="2110" w:type="dxa"/>
                  <w:shd w:val="clear" w:color="auto" w:fill="auto"/>
                  <w:vAlign w:val="center"/>
                </w:tcPr>
                <w:p>
                  <w:pPr>
                    <w:shd w:val="clear" w:color="auto" w:fill="C7DAF1" w:themeFill="text2" w:themeFillTint="32"/>
                    <w:rPr>
                      <w:rFonts w:ascii="宋体" w:hAnsi="宋体"/>
                    </w:rPr>
                  </w:pPr>
                  <w:r>
                    <w:rPr>
                      <w:rFonts w:hint="eastAsia"/>
                      <w:lang w:val="en-US" w:eastAsia="zh-CN"/>
                    </w:rPr>
                    <w:t>每季度考核</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7" w:type="dxa"/>
                  <w:shd w:val="clear" w:color="auto" w:fill="auto"/>
                </w:tcPr>
                <w:p>
                  <w:pPr>
                    <w:shd w:val="clear" w:color="auto" w:fill="C7DAF1" w:themeFill="text2" w:themeFillTint="32"/>
                  </w:pPr>
                  <w:r>
                    <w:rPr>
                      <w:rFonts w:hint="eastAsia" w:ascii="Times New Roman" w:hAnsi="Times New Roman"/>
                    </w:rPr>
                    <w:t>工程管理服务满意度≥90%</w:t>
                  </w:r>
                </w:p>
              </w:tc>
              <w:tc>
                <w:tcPr>
                  <w:tcW w:w="2110" w:type="dxa"/>
                  <w:shd w:val="clear" w:color="auto" w:fill="auto"/>
                  <w:vAlign w:val="center"/>
                </w:tcPr>
                <w:p>
                  <w:pPr>
                    <w:shd w:val="clear" w:color="auto" w:fill="C7DAF1" w:themeFill="text2" w:themeFillTint="32"/>
                    <w:rPr>
                      <w:rFonts w:ascii="宋体" w:hAnsi="宋体"/>
                    </w:rPr>
                  </w:pPr>
                  <w:r>
                    <w:rPr>
                      <w:rFonts w:hint="eastAsia"/>
                      <w:lang w:val="en-US" w:eastAsia="zh-CN"/>
                    </w:rPr>
                    <w:t>每季度考核</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260</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办公用品</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b/>
                <w:lang w:val="en-US" w:eastAsia="zh-CN"/>
              </w:rPr>
              <w:t>DB13/T 3008.12-2018 《人力资源服务规范 第12部分：劳务派遣》</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256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pPr>
                    <w:shd w:val="clear" w:color="auto" w:fill="C7DAF1" w:themeFill="text2" w:themeFillTint="32"/>
                    <w:jc w:val="left"/>
                  </w:pPr>
                  <w:r>
                    <w:rPr>
                      <w:rFonts w:hint="eastAsia"/>
                    </w:rPr>
                    <w:t>产品/服务名称</w:t>
                  </w:r>
                </w:p>
              </w:tc>
              <w:tc>
                <w:tcPr>
                  <w:tcW w:w="256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pPr>
                    <w:shd w:val="clear" w:color="auto" w:fill="C7DAF1" w:themeFill="text2" w:themeFillTint="32"/>
                    <w:jc w:val="left"/>
                  </w:pPr>
                  <w:r>
                    <w:rPr>
                      <w:sz w:val="21"/>
                      <w:szCs w:val="21"/>
                    </w:rPr>
                    <w:t>劳务派遣服务，太阳能、风力发电技术服务</w:t>
                  </w:r>
                </w:p>
              </w:tc>
              <w:tc>
                <w:tcPr>
                  <w:tcW w:w="2567"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pPr>
                    <w:shd w:val="clear" w:color="auto" w:fill="C7DAF1" w:themeFill="text2" w:themeFillTint="32"/>
                    <w:jc w:val="left"/>
                  </w:pPr>
                </w:p>
              </w:tc>
              <w:tc>
                <w:tcPr>
                  <w:tcW w:w="256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tcPr>
                <w:p>
                  <w:pPr>
                    <w:shd w:val="clear" w:color="auto" w:fill="C7DAF1" w:themeFill="text2" w:themeFillTint="32"/>
                    <w:jc w:val="left"/>
                  </w:pPr>
                </w:p>
              </w:tc>
              <w:tc>
                <w:tcPr>
                  <w:tcW w:w="256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方案编制</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 xml:space="preserve">保护环境  预防污染  遵守法规  符合标准  </w:t>
            </w:r>
          </w:p>
          <w:p>
            <w:pPr>
              <w:spacing w:line="320" w:lineRule="exact"/>
              <w:rPr>
                <w:u w:val="single"/>
              </w:rPr>
            </w:pPr>
            <w:r>
              <w:rPr>
                <w:rFonts w:hint="eastAsia" w:ascii="Times New Roman" w:hAnsi="Times New Roman" w:eastAsia="宋体" w:cs="Times New Roman"/>
              </w:rPr>
              <w:t>节约资源  传达沟通  持续改进  不断提高</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9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shd w:val="clear" w:color="auto" w:fill="EBF1DE" w:themeFill="accent3" w:themeFillTint="32"/>
                  </w:pPr>
                  <w:r>
                    <w:rPr>
                      <w:rFonts w:hint="eastAsia"/>
                    </w:rPr>
                    <w:t>主要的风险或机遇描述</w:t>
                  </w:r>
                </w:p>
              </w:tc>
              <w:tc>
                <w:tcPr>
                  <w:tcW w:w="3924"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shd w:val="clear" w:color="auto" w:fill="EBF1DE" w:themeFill="accent3" w:themeFillTint="32"/>
                  </w:pPr>
                  <w:r>
                    <w:rPr>
                      <w:rFonts w:hint="eastAsia" w:ascii="宋体" w:hAnsi="宋体" w:eastAsia="宋体" w:cs="宋体"/>
                      <w:color w:val="000000"/>
                      <w:kern w:val="0"/>
                      <w:sz w:val="20"/>
                      <w:szCs w:val="20"/>
                      <w:lang w:val="en-US" w:eastAsia="zh-CN" w:bidi="ar"/>
                    </w:rPr>
                    <w:t>人员管理不到位，人员资质过期</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有资质的人员没能按规 定实施培训。作业人员环保意识差</w:t>
                  </w:r>
                  <w:r>
                    <w:rPr>
                      <w:rFonts w:hint="default" w:ascii="Calibri" w:hAnsi="Calibri" w:eastAsia="宋体" w:cs="Calibri"/>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培训不到位</w:t>
                  </w:r>
                </w:p>
              </w:tc>
              <w:tc>
                <w:tcPr>
                  <w:tcW w:w="3924" w:type="dxa"/>
                </w:tcPr>
                <w:p>
                  <w:pPr>
                    <w:shd w:val="clear" w:color="auto" w:fill="EBF1DE" w:themeFill="accent3" w:themeFillTint="32"/>
                  </w:pPr>
                  <w:r>
                    <w:rPr>
                      <w:rFonts w:hint="eastAsia" w:ascii="Times New Roman" w:hAnsi="Times New Roman" w:eastAsia="宋体" w:cs="Times New Roman"/>
                      <w:kern w:val="2"/>
                      <w:sz w:val="21"/>
                      <w:szCs w:val="20"/>
                      <w:lang w:val="en-US" w:eastAsia="zh-CN" w:bidi="ar-SA"/>
                    </w:rPr>
                    <w:t>行政部对持证上岗人员按要求组织培训；采取激励措施，减少人员流失；每年对作业人员和管理人员定 期组织培训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rPr>
                    <w:t>环境事故为零</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制定目标、方案；对人员培训等</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rPr>
                    <w:t>固体废弃物分类处理率100%</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lang w:val="en-US" w:eastAsia="zh-CN"/>
                    </w:rPr>
                    <w:t>制定目标、方案；对人员培训等</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 xml:space="preserve">100% </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260</w:t>
            </w:r>
            <w:r>
              <w:rPr>
                <w:rFonts w:hint="eastAsia"/>
              </w:rPr>
              <w:t>平方米；生产车间个；库房个；实验室个；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lang w:val="en-US" w:eastAsia="zh-CN"/>
              </w:rPr>
              <w:t>办公用品</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法律法规获取充分，□法律法规获取有遗漏，缺少：</w:t>
            </w:r>
            <w:r>
              <w:rPr>
                <w:rFonts w:hint="eastAsia"/>
                <w:lang w:val="en-US" w:eastAsia="zh-CN"/>
              </w:rPr>
              <w:t>消防法非现行有效版本</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制定目标、方案、制度，配置固废分类装置，对人员进行培训等</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编制应急预案，配置灭火器，对人员进行培训等</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预防为主  控制保护  强化监督  有法可依</w:t>
            </w:r>
          </w:p>
          <w:p>
            <w:pPr>
              <w:rPr>
                <w:u w:val="single"/>
              </w:rPr>
            </w:pPr>
            <w:r>
              <w:rPr>
                <w:rFonts w:hint="eastAsia" w:ascii="Times New Roman" w:hAnsi="Times New Roman" w:eastAsia="宋体" w:cs="Times New Roman"/>
              </w:rPr>
              <w:t>以人为本  提高素质  科学管理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sz w:val="21"/>
                <w:szCs w:val="21"/>
                <w:lang w:eastAsia="zh-CN"/>
              </w:rPr>
              <w:t>刘宏凌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43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tcPr>
                <w:p>
                  <w:r>
                    <w:rPr>
                      <w:rFonts w:hint="eastAsia"/>
                    </w:rPr>
                    <w:t>主要的风险或机遇描述</w:t>
                  </w:r>
                </w:p>
              </w:tc>
              <w:tc>
                <w:tcPr>
                  <w:tcW w:w="4333"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2"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疫情爆发带来的不安定</w:t>
                  </w:r>
                </w:p>
              </w:tc>
              <w:tc>
                <w:tcPr>
                  <w:tcW w:w="4333" w:type="dxa"/>
                  <w:vAlign w:val="top"/>
                </w:tcPr>
                <w:p>
                  <w:pPr>
                    <w:rPr>
                      <w:rFonts w:ascii="Times New Roman" w:hAnsi="Times New Roman" w:eastAsia="宋体" w:cs="Times New Roman"/>
                      <w:kern w:val="2"/>
                      <w:sz w:val="18"/>
                      <w:szCs w:val="18"/>
                      <w:lang w:val="en-US" w:eastAsia="zh-CN" w:bidi="ar-SA"/>
                    </w:rPr>
                  </w:pPr>
                  <w:r>
                    <w:rPr>
                      <w:rFonts w:hint="eastAsia" w:ascii="楷体" w:hAnsi="楷体" w:eastAsia="楷体" w:cs="楷体"/>
                      <w:sz w:val="21"/>
                      <w:szCs w:val="21"/>
                      <w:lang w:val="en-US" w:eastAsia="zh-CN"/>
                    </w:rPr>
                    <w:t>制定疫情应对措施，配备防疫用品，进出厂区测量体温、定期消杀、外地人员或去过风险地区人员的报备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33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rPr>
                      <w:rFonts w:ascii="宋体" w:hAnsi="宋体"/>
                    </w:rPr>
                  </w:pPr>
                  <w:r>
                    <w:rPr>
                      <w:rFonts w:hint="eastAsia"/>
                    </w:rPr>
                    <w:t>职业健康安全</w:t>
                  </w:r>
                  <w:r>
                    <w:rPr>
                      <w:rFonts w:hint="eastAsia" w:ascii="宋体" w:hAnsi="宋体"/>
                    </w:rPr>
                    <w:t>目标</w:t>
                  </w:r>
                </w:p>
              </w:tc>
              <w:tc>
                <w:tcPr>
                  <w:tcW w:w="3382"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vAlign w:val="center"/>
                </w:tcPr>
                <w:p>
                  <w:pPr>
                    <w:tabs>
                      <w:tab w:val="left" w:pos="1800"/>
                    </w:tabs>
                    <w:spacing w:beforeLines="0" w:afterLines="0"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重大安全事故为0</w:t>
                  </w:r>
                </w:p>
                <w:p>
                  <w:pPr>
                    <w:tabs>
                      <w:tab w:val="left" w:pos="1800"/>
                    </w:tabs>
                    <w:spacing w:beforeLines="0" w:afterLines="0" w:line="360" w:lineRule="auto"/>
                    <w:rPr>
                      <w:rFonts w:hint="eastAsia" w:ascii="宋体" w:hAnsi="宋体" w:eastAsia="宋体" w:cs="宋体"/>
                      <w:kern w:val="2"/>
                      <w:sz w:val="24"/>
                      <w:szCs w:val="24"/>
                      <w:lang w:val="en-US" w:eastAsia="zh-CN" w:bidi="ar-SA"/>
                    </w:rPr>
                  </w:pPr>
                  <w:r>
                    <w:rPr>
                      <w:rFonts w:hint="eastAsia" w:ascii="Times New Roman" w:hAnsi="Times New Roman" w:cs="Times New Roman"/>
                      <w:sz w:val="18"/>
                      <w:szCs w:val="18"/>
                      <w:lang w:val="en-US" w:eastAsia="zh-CN"/>
                    </w:rPr>
                    <w:t>火灾事故发生率为0</w:t>
                  </w:r>
                </w:p>
              </w:tc>
              <w:tc>
                <w:tcPr>
                  <w:tcW w:w="3382"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对人员进行培训，办公场所设置禁烟警示标识；配置消防器材；进行火灾应急预案演练；定期检查，及时排除火灾隐患</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260</w:t>
            </w:r>
            <w:r>
              <w:rPr>
                <w:rFonts w:hint="eastAsia"/>
              </w:rPr>
              <w:t>平方米；生产车间个；库房个；实验室个；</w:t>
            </w:r>
          </w:p>
          <w:p>
            <w:pPr>
              <w:rPr>
                <w:rFonts w:hint="eastAsia"/>
                <w:u w:val="single"/>
                <w:lang w:val="en-US" w:eastAsia="zh-CN"/>
              </w:rPr>
            </w:pPr>
            <w:r>
              <w:rPr>
                <w:rFonts w:hint="eastAsia"/>
              </w:rPr>
              <w:t>主要生产设备有：</w:t>
            </w:r>
            <w:r>
              <w:rPr>
                <w:rFonts w:hint="eastAsia"/>
                <w:u w:val="single"/>
                <w:lang w:val="en-US" w:eastAsia="zh-CN"/>
              </w:rPr>
              <w:t>办公设施</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法律法规获取充分，□法律法规获取有遗漏，缺少：</w:t>
            </w:r>
            <w:r>
              <w:rPr>
                <w:rFonts w:hint="eastAsia"/>
                <w:lang w:val="en-US" w:eastAsia="zh-CN"/>
              </w:rPr>
              <w:t>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编制应急预案，配置灭火器，对人员进行培训等</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bookmarkStart w:id="35" w:name="_GoBack"/>
            <w:bookmarkEnd w:id="35"/>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53066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2022-04-27T07:31:38Z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