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A84CB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476853">
        <w:trPr>
          <w:cantSplit/>
          <w:trHeight w:val="915"/>
        </w:trPr>
        <w:tc>
          <w:tcPr>
            <w:tcW w:w="1368" w:type="dxa"/>
          </w:tcPr>
          <w:p w:rsidR="00CE7DF8" w:rsidRDefault="00A84CB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A84CB6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A84CB6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76853">
        <w:trPr>
          <w:cantSplit/>
        </w:trPr>
        <w:tc>
          <w:tcPr>
            <w:tcW w:w="1368" w:type="dxa"/>
          </w:tcPr>
          <w:p w:rsidR="00CE7DF8" w:rsidRDefault="00A84CB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A84C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重庆渝发园林有限公司</w:t>
            </w:r>
            <w:bookmarkEnd w:id="11"/>
          </w:p>
        </w:tc>
        <w:tc>
          <w:tcPr>
            <w:tcW w:w="1290" w:type="dxa"/>
          </w:tcPr>
          <w:p w:rsidR="00CE7DF8" w:rsidRDefault="00A84CB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7B31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杨爽</w:t>
            </w:r>
          </w:p>
        </w:tc>
      </w:tr>
      <w:tr w:rsidR="00476853">
        <w:trPr>
          <w:cantSplit/>
        </w:trPr>
        <w:tc>
          <w:tcPr>
            <w:tcW w:w="1368" w:type="dxa"/>
          </w:tcPr>
          <w:p w:rsidR="00CE7DF8" w:rsidRDefault="00A84CB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7B31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  <w:p w:rsidR="00CE7DF8" w:rsidRPr="007B682A" w:rsidRDefault="00A84CB6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A84CB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7B31D2" w:rsidP="007B31D2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2022.4.26</w:t>
            </w:r>
          </w:p>
        </w:tc>
      </w:tr>
      <w:tr w:rsidR="00476853">
        <w:trPr>
          <w:trHeight w:val="4138"/>
        </w:trPr>
        <w:tc>
          <w:tcPr>
            <w:tcW w:w="10035" w:type="dxa"/>
            <w:gridSpan w:val="4"/>
          </w:tcPr>
          <w:p w:rsidR="00CE7DF8" w:rsidRDefault="00A84C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Pr="007B31D2" w:rsidRDefault="00A84CB6" w:rsidP="007B31D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Pr="007B31D2" w:rsidRDefault="007B31D2" w:rsidP="007B31D2">
            <w:pPr>
              <w:snapToGrid w:val="0"/>
              <w:spacing w:line="280" w:lineRule="exact"/>
              <w:ind w:firstLineChars="300" w:firstLine="663"/>
              <w:rPr>
                <w:rFonts w:ascii="宋体" w:hAnsi="宋体"/>
                <w:b/>
                <w:sz w:val="22"/>
                <w:szCs w:val="22"/>
              </w:rPr>
            </w:pPr>
            <w:r w:rsidRPr="007B31D2">
              <w:rPr>
                <w:rFonts w:ascii="宋体" w:hAnsi="宋体" w:hint="eastAsia"/>
                <w:b/>
                <w:sz w:val="22"/>
                <w:szCs w:val="22"/>
              </w:rPr>
              <w:t>在用检具，钢卷尺（管理编号：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YF</w:t>
            </w:r>
            <w:r w:rsidRPr="007B31D2">
              <w:rPr>
                <w:rFonts w:ascii="宋体" w:hAnsi="宋体" w:hint="eastAsia"/>
                <w:b/>
                <w:sz w:val="22"/>
                <w:szCs w:val="22"/>
              </w:rPr>
              <w:t>-Q-0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</w:t>
            </w:r>
            <w:r w:rsidRPr="007B31D2">
              <w:rPr>
                <w:rFonts w:ascii="宋体" w:hAnsi="宋体" w:hint="eastAsia"/>
                <w:b/>
                <w:sz w:val="22"/>
                <w:szCs w:val="22"/>
              </w:rPr>
              <w:t>）、经伟仪（管理编号：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YF</w:t>
            </w:r>
            <w:r w:rsidRPr="007B31D2">
              <w:rPr>
                <w:rFonts w:ascii="宋体" w:hAnsi="宋体" w:hint="eastAsia"/>
                <w:b/>
                <w:sz w:val="22"/>
                <w:szCs w:val="22"/>
              </w:rPr>
              <w:t>-Q-01），均采用委外送检的方式。查钢卷尺、经伟仪定期校准记录，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不能</w:t>
            </w:r>
            <w:r w:rsidRPr="007B31D2">
              <w:rPr>
                <w:rFonts w:ascii="宋体" w:hAnsi="宋体" w:hint="eastAsia"/>
                <w:b/>
                <w:sz w:val="22"/>
                <w:szCs w:val="22"/>
              </w:rPr>
              <w:t>提供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有效</w:t>
            </w:r>
            <w:r w:rsidRPr="007B31D2">
              <w:rPr>
                <w:rFonts w:ascii="宋体" w:hAnsi="宋体" w:hint="eastAsia"/>
                <w:b/>
                <w:sz w:val="22"/>
                <w:szCs w:val="22"/>
              </w:rPr>
              <w:t>的校准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或检定</w:t>
            </w:r>
            <w:r w:rsidRPr="007B31D2">
              <w:rPr>
                <w:rFonts w:ascii="宋体" w:hAnsi="宋体" w:hint="eastAsia"/>
                <w:b/>
                <w:sz w:val="22"/>
                <w:szCs w:val="22"/>
              </w:rPr>
              <w:t>证书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CE7DF8" w:rsidRPr="007B31D2" w:rsidRDefault="00A84CB6" w:rsidP="007B31D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Pr="007B31D2" w:rsidRDefault="00A84CB6" w:rsidP="007B31D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_GoBack"/>
            <w:bookmarkEnd w:id="12"/>
          </w:p>
          <w:p w:rsidR="00CE7DF8" w:rsidRDefault="00A84CB6" w:rsidP="007B31D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7B31D2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7B31D2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7B31D2">
              <w:rPr>
                <w:rFonts w:ascii="宋体"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7B31D2">
              <w:rPr>
                <w:rFonts w:ascii="方正仿宋简体" w:eastAsia="方正仿宋简体" w:hint="eastAsia"/>
                <w:b/>
              </w:rPr>
              <w:t>7.1.5 .2a条款：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 w:rsidR="00CE7DF8" w:rsidRDefault="00A84CB6" w:rsidP="007B31D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7B31D2" w:rsidP="007B31D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A84CB6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A84CB6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A84CB6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A84CB6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A84CB6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A84CB6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7B31D2" w:rsidP="007B31D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A84CB6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A84CB6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A84CB6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A84CB6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A84CB6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A84CB6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A84CB6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A84CB6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A84CB6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84CB6" w:rsidP="007B31D2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84CB6" w:rsidP="007B31D2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84CB6" w:rsidP="007B31D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84CB6" w:rsidP="007B31D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84CB6" w:rsidP="007B31D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84CB6" w:rsidP="007B31D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A84CB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A84CB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A84CB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84CB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A84CB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76853">
        <w:trPr>
          <w:trHeight w:val="3768"/>
        </w:trPr>
        <w:tc>
          <w:tcPr>
            <w:tcW w:w="10035" w:type="dxa"/>
            <w:gridSpan w:val="4"/>
          </w:tcPr>
          <w:p w:rsidR="00CE7DF8" w:rsidRDefault="00A84C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A84C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84C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84C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84C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84C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A84CB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76853">
        <w:trPr>
          <w:trHeight w:val="1702"/>
        </w:trPr>
        <w:tc>
          <w:tcPr>
            <w:tcW w:w="10028" w:type="dxa"/>
          </w:tcPr>
          <w:p w:rsidR="00CE7DF8" w:rsidRDefault="00A84C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</w:tc>
      </w:tr>
      <w:tr w:rsidR="00476853">
        <w:trPr>
          <w:trHeight w:val="1393"/>
        </w:trPr>
        <w:tc>
          <w:tcPr>
            <w:tcW w:w="10028" w:type="dxa"/>
          </w:tcPr>
          <w:p w:rsidR="00CE7DF8" w:rsidRDefault="00A84C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</w:tc>
      </w:tr>
      <w:tr w:rsidR="00476853">
        <w:trPr>
          <w:trHeight w:val="1854"/>
        </w:trPr>
        <w:tc>
          <w:tcPr>
            <w:tcW w:w="10028" w:type="dxa"/>
          </w:tcPr>
          <w:p w:rsidR="00CE7DF8" w:rsidRDefault="00A84C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</w:tc>
      </w:tr>
      <w:tr w:rsidR="00476853">
        <w:trPr>
          <w:trHeight w:val="1537"/>
        </w:trPr>
        <w:tc>
          <w:tcPr>
            <w:tcW w:w="10028" w:type="dxa"/>
          </w:tcPr>
          <w:p w:rsidR="00CE7DF8" w:rsidRDefault="00A84C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76853">
        <w:trPr>
          <w:trHeight w:val="1699"/>
        </w:trPr>
        <w:tc>
          <w:tcPr>
            <w:tcW w:w="10028" w:type="dxa"/>
          </w:tcPr>
          <w:p w:rsidR="00CE7DF8" w:rsidRDefault="00A84C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</w:tc>
      </w:tr>
      <w:tr w:rsidR="00476853">
        <w:trPr>
          <w:trHeight w:val="2485"/>
        </w:trPr>
        <w:tc>
          <w:tcPr>
            <w:tcW w:w="10028" w:type="dxa"/>
          </w:tcPr>
          <w:p w:rsidR="00CE7DF8" w:rsidRDefault="00A84C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</w:p>
          <w:p w:rsidR="00CE7DF8" w:rsidRDefault="00A84CB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7B31D2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A84CB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7B31D2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B6" w:rsidRDefault="00A84CB6" w:rsidP="00476853">
      <w:r>
        <w:separator/>
      </w:r>
    </w:p>
  </w:endnote>
  <w:endnote w:type="continuationSeparator" w:id="0">
    <w:p w:rsidR="00A84CB6" w:rsidRDefault="00A84CB6" w:rsidP="00476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84CB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B6" w:rsidRDefault="00A84CB6" w:rsidP="00476853">
      <w:r>
        <w:separator/>
      </w:r>
    </w:p>
  </w:footnote>
  <w:footnote w:type="continuationSeparator" w:id="0">
    <w:p w:rsidR="00A84CB6" w:rsidRDefault="00A84CB6" w:rsidP="00476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84CB6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6853" w:rsidRPr="0047685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A84CB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A84CB6" w:rsidP="007B31D2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853"/>
    <w:rsid w:val="00476853"/>
    <w:rsid w:val="007B31D2"/>
    <w:rsid w:val="00A8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2022-04-22T06:11:00Z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