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03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67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/>
                <w:szCs w:val="21"/>
              </w:rPr>
              <w:t>大庆信海越石油科技开发有限公司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高淑玲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bookmarkStart w:id="2" w:name="_GoBack"/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抽查发现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提供的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GB/T4208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2008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外壳防护等级（IP代码）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》，该标准已作废。不符合GB/T19022-2003标准中 6.2.1条款的规定要求。</w:t>
            </w:r>
          </w:p>
          <w:bookmarkEnd w:id="2"/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GB/T19022-2003  6.2.1条款-程序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 陪同人员(签名)_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716280" cy="358140"/>
                  <wp:effectExtent l="0" t="0" r="0" b="7620"/>
                  <wp:docPr id="6" name="图片 6" descr="c874f173237a0ba9a1066511c5f11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874f173237a0ba9a1066511c5f11e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716280" cy="358140"/>
                  <wp:effectExtent l="0" t="0" r="0" b="7620"/>
                  <wp:docPr id="7" name="图片 7" descr="c874f173237a0ba9a1066511c5f11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874f173237a0ba9a1066511c5f11e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2022.4.20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1.加强学习，对企业适用标准进行检查杜绝类似问题的发生。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2.立即更换新的标准（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GB/T4950</w:t>
            </w:r>
            <w:r>
              <w:rPr>
                <w:rFonts w:hint="eastAsia" w:ascii="宋体" w:hAnsi="宋体"/>
                <w:color w:val="auto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2017</w:t>
            </w:r>
            <w:r>
              <w:rPr>
                <w:rFonts w:hint="eastAsia" w:ascii="宋体" w:hAnsi="宋体"/>
                <w:color w:val="auto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外壳防护等级（IP代码）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），受控后投入使用。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16280" cy="358140"/>
                  <wp:effectExtent l="0" t="0" r="0" b="7620"/>
                  <wp:docPr id="8" name="图片 8" descr="c874f173237a0ba9a1066511c5f11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874f173237a0ba9a1066511c5f11e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2022.4.20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6955A9"/>
    <w:rsid w:val="2913218A"/>
    <w:rsid w:val="38E521D2"/>
    <w:rsid w:val="4F55590E"/>
    <w:rsid w:val="5F153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415</Characters>
  <Lines>2</Lines>
  <Paragraphs>1</Paragraphs>
  <TotalTime>0</TotalTime>
  <ScaleCrop>false</ScaleCrop>
  <LinksUpToDate>false</LinksUpToDate>
  <CharactersWithSpaces>504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2022-04-20T02:17:06Z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2C732C0951AA435BA6A4B42777E43BA5</vt:lpwstr>
  </property>
</Properties>
</file>